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pStyle w:val="12"/>
        <w:tabs>
          <w:tab w:val="left" w:pos="3119"/>
        </w:tabs>
        <w:jc w:val="center"/>
        <w:rPr>
          <w:rFonts w:eastAsia="方正小标宋简体" w:cs="Times New Roman"/>
          <w:sz w:val="32"/>
          <w:szCs w:val="32"/>
        </w:rPr>
      </w:pPr>
      <w:bookmarkStart w:id="0" w:name="_Hlk72921286"/>
      <w:bookmarkStart w:id="1" w:name="_Hlk82683497"/>
      <w:r>
        <w:rPr>
          <w:rFonts w:hint="eastAsia" w:eastAsia="方正小标宋简体" w:cs="Times New Roman"/>
          <w:sz w:val="32"/>
          <w:szCs w:val="32"/>
        </w:rPr>
        <w:t>培训班必修课程列表</w:t>
      </w:r>
    </w:p>
    <w:bookmarkEnd w:id="0"/>
    <w:tbl>
      <w:tblPr>
        <w:tblStyle w:val="6"/>
        <w:tblW w:w="977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3699"/>
        <w:gridCol w:w="1396"/>
        <w:gridCol w:w="2284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模块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主讲人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职务职称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  <w:t>时长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18"/>
                <w:szCs w:val="18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1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习近平新时代中国特色社会主义思想和党的二十大精神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习近平新时代中国特色社会主义思想的世界观和方法论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辛向阳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中国社会科学院马克思主义研究院党委书记、副院长，教授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认真学习党的二十大精神，开辟马克思主义中国化时代化新境界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春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中共中央党校（国家行政学院）教授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把握内在机理  坚持理论创新  不断推进马克思主义中国化时代化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董振华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中共中央党校（国家行政学院）教授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学习贯彻党的二十大精神 以习近平总书记教育工作重要论述为指导 全面推进学校高质量办学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张志勇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北京师范大学中国教育政策研究院执行院长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能力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建设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坚定不移全面从严治党，深入推进新时代党的建设新的伟大工程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王久高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北京大学马克思主义学院党的建设研究所所长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加强高校党的政治建设 以高质量党建引领高质量发展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乔志强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湖北省委教育工委、湖北教育厅组织处处长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增强做好新形势下意识形态工作的本领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鹏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北京科技大学马克思主义学院教授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树立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大思政课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观 推动新时代思政课高质量发展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王新生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南开大学党委常委、副校长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党章党规党纪和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警示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教育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认真学习和领会党的二十大通过的《中国共产党章程（修正案）》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陈凯龙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中共中央党校（国家行政学院）教授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认真学习贯彻《中国共产党普通高等学校基层组织工作条例》 不断提高高校党的建设质量和水平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柳李华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中组部组织二局五处副处长、二级调研员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《中国共产党纪律处分条例》（修订）解读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春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中共中央党校（国家行政学院）教授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高校违规违纪面面观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刘培元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北京外国语大学党委常委、党委统战部部长、党委巡察办公室主任（兼）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警钟长鸣——师德失范行为典型案例的背后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俞黎阳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华东师范大学纪委副书记、纪委办公室主任、监察处处长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4" w:type="dxa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党建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实务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与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方法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创新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如何开好民主生活会和组织生活会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初青松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东北大学党校常务副校长、机关党委书记、党委组织部副部长，研究员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怎么提升主题党日实效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红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房山教育党校副书记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党支部换届选举工作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姜玉原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东北大学党委组织部副部长、正处级组织员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高校高层次人才党员发展现状、问题与工作提升策略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党远鸿</w:t>
            </w:r>
          </w:p>
        </w:tc>
        <w:tc>
          <w:tcPr>
            <w:tcW w:w="228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华东师范大学生命科学学院党委书记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着力加强组织员队伍建设 切实提升高校党建工作质量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李志英</w:t>
            </w:r>
          </w:p>
        </w:tc>
        <w:tc>
          <w:tcPr>
            <w:tcW w:w="228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北京师范大学历史学院教授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党政联席会议制度与党政关系处理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嵇绍岭</w:t>
            </w:r>
          </w:p>
        </w:tc>
        <w:tc>
          <w:tcPr>
            <w:tcW w:w="228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上海交通大学纪委副书记、纪委办主任，兼任学校机关党委副书记，三级高级监察官，副教授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如何做好新时代党外知识分子的统战工作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李小宁</w:t>
            </w:r>
          </w:p>
        </w:tc>
        <w:tc>
          <w:tcPr>
            <w:tcW w:w="228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中央社会主义学院统战理论教研部原副主任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党建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案例</w:t>
            </w:r>
          </w:p>
        </w:tc>
        <w:tc>
          <w:tcPr>
            <w:tcW w:w="369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深入推进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一融双高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建设 增强高校党组织政治功能和组织功能</w:t>
            </w:r>
          </w:p>
        </w:tc>
        <w:tc>
          <w:tcPr>
            <w:tcW w:w="139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亮</w:t>
            </w:r>
          </w:p>
        </w:tc>
        <w:tc>
          <w:tcPr>
            <w:tcW w:w="228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大连理工大学建筑与艺术学院党委书记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“党建工作标杆院系”申报——前期准备：立足实际强特色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萍</w:t>
            </w:r>
          </w:p>
        </w:tc>
        <w:tc>
          <w:tcPr>
            <w:tcW w:w="2284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山东青年政治学院政治与公共管理学院党委书记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，全国学校共青团研究中心特聘研究员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“党建工作标杆院系”申报——撰写申报书：凝练成效显特色</w:t>
            </w:r>
          </w:p>
        </w:tc>
        <w:tc>
          <w:tcPr>
            <w:tcW w:w="13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8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“党建工作标杆院系”申报——案例分享：以山东青年政治学院政治与公共管理学院党委为例</w:t>
            </w:r>
          </w:p>
        </w:tc>
        <w:tc>
          <w:tcPr>
            <w:tcW w:w="13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8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聚焦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七个有力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，打造模范院级机关党支部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李鸿涛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南京理工大学理学院党委书记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坚持培根铸魂，传播中国声音——激活“党建+业务”双引擎，辐射引领教师队伍成长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付志明</w:t>
            </w:r>
          </w:p>
        </w:tc>
        <w:tc>
          <w:tcPr>
            <w:tcW w:w="228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北京大学外国语学院阿拉伯语系党支部书记工作室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扎根沃土树样板，党建育人薪火传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孙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宇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北京师范大学政府管理学院教授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1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治理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能力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提升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中国特色现代大学治理体系探索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王希勤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清华大学校长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牢记为党育人为国育才使命 凝心聚力推动学院事业发展</w:t>
            </w:r>
          </w:p>
        </w:tc>
        <w:tc>
          <w:tcPr>
            <w:tcW w:w="139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凯</w:t>
            </w:r>
          </w:p>
        </w:tc>
        <w:tc>
          <w:tcPr>
            <w:tcW w:w="228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华中科技大学物理学院党委书记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以一流党建引领一流学科发展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蔡真亮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宁波大学海洋学院党委书记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完善党政联席会议制度 推进院系治理现代化</w:t>
            </w:r>
          </w:p>
        </w:tc>
        <w:tc>
          <w:tcPr>
            <w:tcW w:w="139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常  亮</w:t>
            </w:r>
          </w:p>
        </w:tc>
        <w:tc>
          <w:tcPr>
            <w:tcW w:w="228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大连理工大学建筑与艺术学院党委书记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压力与情绪疏导一一领导干部心理调适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郑日昌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北京师范大学辅仁应用心理发展中心主任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形势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政策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教育</w:t>
            </w:r>
          </w:p>
        </w:tc>
        <w:tc>
          <w:tcPr>
            <w:tcW w:w="3699" w:type="dxa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推动各民族坚定“五个认同” 铸牢中华民族共同体意识</w:t>
            </w:r>
          </w:p>
        </w:tc>
        <w:tc>
          <w:tcPr>
            <w:tcW w:w="13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刘宝明</w:t>
            </w:r>
          </w:p>
        </w:tc>
        <w:tc>
          <w:tcPr>
            <w:tcW w:w="228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中央民族干部学院民族干部教育研究中心主任、研究员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</w:p>
        </w:tc>
        <w:tc>
          <w:tcPr>
            <w:tcW w:w="3699" w:type="dxa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高校服务乡村振兴战略的工作思路和实践</w:t>
            </w:r>
          </w:p>
        </w:tc>
        <w:tc>
          <w:tcPr>
            <w:tcW w:w="13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李熠煜</w:t>
            </w:r>
          </w:p>
        </w:tc>
        <w:tc>
          <w:tcPr>
            <w:tcW w:w="22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浙江理工大学公共管理系主任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</w:p>
        </w:tc>
        <w:tc>
          <w:tcPr>
            <w:tcW w:w="3699" w:type="dxa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落实“双碳”工作的顶层设计——《关于完整准确全面贯彻新发展理念做好碳达峰碳中和工作的意见》解读</w:t>
            </w:r>
          </w:p>
        </w:tc>
        <w:tc>
          <w:tcPr>
            <w:tcW w:w="13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韩文科</w:t>
            </w:r>
          </w:p>
        </w:tc>
        <w:tc>
          <w:tcPr>
            <w:tcW w:w="22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国家发改委能源所高级顾问/原所长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</w:p>
        </w:tc>
        <w:tc>
          <w:tcPr>
            <w:tcW w:w="3699" w:type="dxa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坚持党管保密、依法治密，推进新时代保密工作转型升级</w:t>
            </w:r>
          </w:p>
        </w:tc>
        <w:tc>
          <w:tcPr>
            <w:tcW w:w="13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孙宝云</w:t>
            </w:r>
          </w:p>
        </w:tc>
        <w:tc>
          <w:tcPr>
            <w:tcW w:w="228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北京电子科技学院管理系教授，中国保密协会专家委员会委员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</w:p>
        </w:tc>
        <w:tc>
          <w:tcPr>
            <w:tcW w:w="3699" w:type="dxa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推广普及国家通用语言文字</w:t>
            </w:r>
          </w:p>
        </w:tc>
        <w:tc>
          <w:tcPr>
            <w:tcW w:w="13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王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晖</w:t>
            </w:r>
          </w:p>
        </w:tc>
        <w:tc>
          <w:tcPr>
            <w:tcW w:w="228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教育部语言文字应用管理司副司长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</w:p>
        </w:tc>
        <w:tc>
          <w:tcPr>
            <w:tcW w:w="3699" w:type="dxa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坚持总体国家安全观 防范化解民族工作领域重大风险隐患</w:t>
            </w:r>
          </w:p>
        </w:tc>
        <w:tc>
          <w:tcPr>
            <w:tcW w:w="13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王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军</w:t>
            </w:r>
          </w:p>
        </w:tc>
        <w:tc>
          <w:tcPr>
            <w:tcW w:w="228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中央民族大学中国民族理论与民族政策研究院副院长，博士生导师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</w:tr>
    </w:tbl>
    <w:p>
      <w:pPr>
        <w:spacing w:line="360" w:lineRule="exact"/>
        <w:rPr>
          <w:rFonts w:ascii="Times New Roman" w:hAnsi="Times New Roman" w:eastAsia="仿宋" w:cs="Times New Roman"/>
          <w:szCs w:val="21"/>
        </w:rPr>
      </w:pPr>
      <w:r>
        <w:rPr>
          <w:rFonts w:ascii="Times New Roman" w:hAnsi="Times New Roman" w:eastAsia="仿宋" w:cs="Times New Roman"/>
          <w:szCs w:val="21"/>
        </w:rPr>
        <w:t xml:space="preserve">说明：1.个别课程或稍有调整，请以平台最终发布课程为准； </w:t>
      </w:r>
    </w:p>
    <w:p>
      <w:pPr>
        <w:widowControl/>
        <w:spacing w:line="360" w:lineRule="exact"/>
        <w:ind w:firstLine="630" w:firstLineChars="300"/>
        <w:jc w:val="left"/>
        <w:rPr>
          <w:rFonts w:hint="eastAsia" w:ascii="Times New Roman" w:hAnsi="Times New Roman" w:eastAsia="仿宋" w:cs="Times New Roman"/>
          <w:szCs w:val="21"/>
          <w:lang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cols w:space="720" w:num="1"/>
          <w:docGrid w:linePitch="312" w:charSpace="0"/>
        </w:sectPr>
      </w:pPr>
      <w:r>
        <w:rPr>
          <w:rFonts w:ascii="Times New Roman" w:hAnsi="Times New Roman" w:eastAsia="仿宋" w:cs="Times New Roman"/>
          <w:szCs w:val="21"/>
        </w:rPr>
        <w:t>2.课程主讲人职务为课程录制时的职务</w:t>
      </w:r>
      <w:r>
        <w:rPr>
          <w:rFonts w:hint="eastAsia" w:ascii="Times New Roman" w:hAnsi="Times New Roman" w:eastAsia="仿宋" w:cs="Times New Roman"/>
          <w:szCs w:val="21"/>
          <w:lang w:eastAsia="zh-CN"/>
        </w:rPr>
        <w:t>。</w:t>
      </w:r>
      <w:bookmarkStart w:id="2" w:name="_GoBack"/>
      <w:bookmarkEnd w:id="2"/>
    </w:p>
    <w:bookmarkEnd w:id="1"/>
    <w:p>
      <w:pPr>
        <w:pStyle w:val="12"/>
        <w:tabs>
          <w:tab w:val="left" w:pos="3119"/>
        </w:tabs>
        <w:spacing w:line="480" w:lineRule="exact"/>
        <w:jc w:val="left"/>
        <w:rPr>
          <w:rFonts w:eastAsia="仿宋" w:cs="Times New Roman"/>
          <w:sz w:val="24"/>
        </w:rPr>
      </w:pPr>
    </w:p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Malgun Gothic Semilight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mZDFhM2QyMDhmYmFiYmExZjI1NzBhZmNkNWExZGQifQ=="/>
  </w:docVars>
  <w:rsids>
    <w:rsidRoot w:val="00E74D75"/>
    <w:rsid w:val="00004991"/>
    <w:rsid w:val="00010931"/>
    <w:rsid w:val="000A0C5C"/>
    <w:rsid w:val="000A577D"/>
    <w:rsid w:val="001118F5"/>
    <w:rsid w:val="001271B3"/>
    <w:rsid w:val="00167672"/>
    <w:rsid w:val="00266CB5"/>
    <w:rsid w:val="00277554"/>
    <w:rsid w:val="00285D26"/>
    <w:rsid w:val="00311D2D"/>
    <w:rsid w:val="00386913"/>
    <w:rsid w:val="003D15C5"/>
    <w:rsid w:val="00484A68"/>
    <w:rsid w:val="004B28E8"/>
    <w:rsid w:val="004B763E"/>
    <w:rsid w:val="004D2104"/>
    <w:rsid w:val="004D2EFB"/>
    <w:rsid w:val="004D39FB"/>
    <w:rsid w:val="004E1879"/>
    <w:rsid w:val="00524A7D"/>
    <w:rsid w:val="00536F8B"/>
    <w:rsid w:val="00594872"/>
    <w:rsid w:val="005A233E"/>
    <w:rsid w:val="005D21F7"/>
    <w:rsid w:val="005D675D"/>
    <w:rsid w:val="005F4FD5"/>
    <w:rsid w:val="006B5B37"/>
    <w:rsid w:val="00715509"/>
    <w:rsid w:val="0076455B"/>
    <w:rsid w:val="00794C78"/>
    <w:rsid w:val="007B70FD"/>
    <w:rsid w:val="007C52A5"/>
    <w:rsid w:val="00802C30"/>
    <w:rsid w:val="008343B6"/>
    <w:rsid w:val="00846CE5"/>
    <w:rsid w:val="00860615"/>
    <w:rsid w:val="00875A4F"/>
    <w:rsid w:val="0089571A"/>
    <w:rsid w:val="008B7A1E"/>
    <w:rsid w:val="009373D8"/>
    <w:rsid w:val="00946C11"/>
    <w:rsid w:val="009F0C60"/>
    <w:rsid w:val="00A023FB"/>
    <w:rsid w:val="00A11975"/>
    <w:rsid w:val="00A32A57"/>
    <w:rsid w:val="00A45C73"/>
    <w:rsid w:val="00A638F2"/>
    <w:rsid w:val="00A91833"/>
    <w:rsid w:val="00B25C40"/>
    <w:rsid w:val="00B50354"/>
    <w:rsid w:val="00B83A9C"/>
    <w:rsid w:val="00C3058F"/>
    <w:rsid w:val="00C918C8"/>
    <w:rsid w:val="00CA33D0"/>
    <w:rsid w:val="00CC4C87"/>
    <w:rsid w:val="00CD6D92"/>
    <w:rsid w:val="00CE70B7"/>
    <w:rsid w:val="00D00D23"/>
    <w:rsid w:val="00D14D31"/>
    <w:rsid w:val="00D710CD"/>
    <w:rsid w:val="00D74D81"/>
    <w:rsid w:val="00E473DB"/>
    <w:rsid w:val="00E74D75"/>
    <w:rsid w:val="00E94EF4"/>
    <w:rsid w:val="00EC446B"/>
    <w:rsid w:val="00F33B88"/>
    <w:rsid w:val="00F81103"/>
    <w:rsid w:val="00F90F38"/>
    <w:rsid w:val="26012941"/>
    <w:rsid w:val="277869A7"/>
    <w:rsid w:val="3EBD0173"/>
    <w:rsid w:val="4E02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00正文 Char Char"/>
    <w:link w:val="11"/>
    <w:qFormat/>
    <w:uiPriority w:val="0"/>
    <w:rPr>
      <w:rFonts w:ascii="仿宋_GB2312" w:hAnsi="仿宋_GB2312" w:eastAsia="仿宋_GB2312"/>
      <w:color w:val="000000"/>
      <w:sz w:val="24"/>
      <w:szCs w:val="24"/>
      <w:u w:color="000000"/>
    </w:rPr>
  </w:style>
  <w:style w:type="paragraph" w:customStyle="1" w:styleId="11">
    <w:name w:val="00正文"/>
    <w:link w:val="10"/>
    <w:qFormat/>
    <w:uiPriority w:val="0"/>
    <w:pPr>
      <w:widowControl w:val="0"/>
      <w:spacing w:line="360" w:lineRule="auto"/>
      <w:ind w:firstLine="480"/>
      <w:jc w:val="both"/>
    </w:pPr>
    <w:rPr>
      <w:rFonts w:ascii="仿宋_GB2312" w:hAnsi="仿宋_GB2312" w:eastAsia="仿宋_GB2312" w:cstheme="minorBidi"/>
      <w:color w:val="000000"/>
      <w:kern w:val="2"/>
      <w:sz w:val="24"/>
      <w:szCs w:val="24"/>
      <w:u w:color="000000"/>
      <w:lang w:val="en-US" w:eastAsia="zh-CN" w:bidi="ar-SA"/>
    </w:rPr>
  </w:style>
  <w:style w:type="paragraph" w:customStyle="1" w:styleId="12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3">
    <w:name w:val="标题 1 字符"/>
    <w:basedOn w:val="7"/>
    <w:link w:val="2"/>
    <w:qFormat/>
    <w:uiPriority w:val="9"/>
    <w:rPr>
      <w:rFonts w:ascii="Calibri" w:hAnsi="Calibri" w:eastAsia="宋体" w:cs="黑体"/>
      <w:b/>
      <w:bCs/>
      <w:kern w:val="44"/>
      <w:sz w:val="44"/>
      <w:szCs w:val="44"/>
    </w:rPr>
  </w:style>
  <w:style w:type="character" w:customStyle="1" w:styleId="14">
    <w:name w:val="批注框文本 字符"/>
    <w:basedOn w:val="7"/>
    <w:link w:val="3"/>
    <w:semiHidden/>
    <w:qFormat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326</Words>
  <Characters>1864</Characters>
  <Lines>15</Lines>
  <Paragraphs>4</Paragraphs>
  <TotalTime>731</TotalTime>
  <ScaleCrop>false</ScaleCrop>
  <LinksUpToDate>false</LinksUpToDate>
  <CharactersWithSpaces>2186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2023-05-17T07:36:00Z</dcterms:created>
  <dc:creator>顾茜</dc:creator>
  <cp:lastModifiedBy>逯宇超</cp:lastModifiedBy>
  <cp:lastPrinted>2023-05-19T08:35:00Z</cp:lastPrinted>
  <dcterms:modified xsi:type="dcterms:W3CDTF">2023-05-31T03:15:04Z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4B162FD1021249B28C23F85023D69AC7_12</vt:lpwstr>
  </property>
</Properties>
</file>