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10.odttf" ContentType="application/vnd.openxmlformats-officedocument.obfuscatedFont"/>
  <Override PartName="/word/fonts/font1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highlight w:val="none"/>
          <w:lang w:val="en-US" w:eastAsia="zh-CN"/>
        </w:rPr>
      </w:pPr>
      <w:bookmarkStart w:id="0" w:name="OLE_LINK1"/>
      <w:r>
        <w:rPr>
          <w:rFonts w:hint="eastAsia" w:ascii="方正小标宋简体" w:hAnsi="方正小标宋简体" w:eastAsia="方正小标宋简体" w:cs="方正小标宋简体"/>
          <w:sz w:val="44"/>
          <w:szCs w:val="44"/>
          <w:highlight w:val="none"/>
          <w:lang w:eastAsia="zh-Hans"/>
        </w:rPr>
        <w:t>内蒙古艺术学院职称</w:t>
      </w:r>
      <w:r>
        <w:rPr>
          <w:rFonts w:hint="eastAsia" w:ascii="方正小标宋简体" w:hAnsi="方正小标宋简体" w:eastAsia="方正小标宋简体" w:cs="方正小标宋简体"/>
          <w:sz w:val="44"/>
          <w:szCs w:val="44"/>
          <w:highlight w:val="none"/>
        </w:rPr>
        <w:t>评审</w:t>
      </w:r>
      <w:r>
        <w:rPr>
          <w:rFonts w:hint="eastAsia" w:ascii="方正小标宋简体" w:hAnsi="方正小标宋简体" w:eastAsia="方正小标宋简体" w:cs="方正小标宋简体"/>
          <w:sz w:val="44"/>
          <w:szCs w:val="44"/>
          <w:highlight w:val="none"/>
          <w:lang w:val="en-US" w:eastAsia="zh-CN"/>
        </w:rPr>
        <w:t>办法</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公文小标宋" w:hAnsi="方正公文小标宋" w:eastAsia="方正公文小标宋" w:cs="方正公文小标宋"/>
          <w:sz w:val="44"/>
          <w:szCs w:val="44"/>
          <w:highlight w:val="none"/>
          <w:lang w:val="en-US" w:eastAsia="zh-CN"/>
        </w:rPr>
      </w:pPr>
      <w:r>
        <w:rPr>
          <w:rFonts w:hint="eastAsia" w:ascii="方正小标宋简体" w:hAnsi="方正小标宋简体" w:eastAsia="方正小标宋简体" w:cs="方正小标宋简体"/>
          <w:sz w:val="44"/>
          <w:szCs w:val="44"/>
          <w:highlight w:val="none"/>
          <w:lang w:val="en-US" w:eastAsia="zh-CN"/>
        </w:rPr>
        <w:t>（修订）</w:t>
      </w:r>
      <w:bookmarkEnd w:id="0"/>
    </w:p>
    <w:p>
      <w:pPr>
        <w:pageBreakBefore w:val="0"/>
        <w:kinsoku/>
        <w:wordWrap/>
        <w:overflowPunct/>
        <w:topLinePunct w:val="0"/>
        <w:autoSpaceDE/>
        <w:autoSpaceDN/>
        <w:bidi w:val="0"/>
        <w:spacing w:line="560" w:lineRule="exact"/>
        <w:textAlignment w:val="auto"/>
        <w:rPr>
          <w:rFonts w:ascii="仿宋_GB2312" w:hAnsi="仿宋_GB2312" w:eastAsia="仿宋_GB2312" w:cs="仿宋_GB2312"/>
          <w:sz w:val="32"/>
          <w:szCs w:val="32"/>
          <w:highlight w:val="none"/>
        </w:rPr>
      </w:pPr>
    </w:p>
    <w:p>
      <w:pPr>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val="en-US" w:eastAsia="zh-CN"/>
        </w:rPr>
        <w:t>为贯彻落实《关于深化高等学校教师职称制度改革的指导意见》（人社部发〔2020〕100号）、《职称评审管理暂行规定》（中华人民共和国人力资源和社会保障部令第40号）、</w:t>
      </w:r>
      <w:r>
        <w:rPr>
          <w:rFonts w:hint="eastAsia" w:ascii="仿宋_GB2312" w:hAnsi="仿宋_GB2312" w:eastAsia="仿宋_GB2312" w:cs="仿宋_GB2312"/>
          <w:sz w:val="32"/>
          <w:szCs w:val="32"/>
          <w:highlight w:val="none"/>
        </w:rPr>
        <w:t>《关于印发&lt;内蒙古自治区关于深化高等学校教师职称制度改革的实施意见&gt;的通知》（内人社发〔2021〕38号）</w:t>
      </w:r>
      <w:r>
        <w:rPr>
          <w:rFonts w:hint="eastAsia" w:ascii="仿宋_GB2312" w:hAnsi="仿宋_GB2312" w:eastAsia="仿宋_GB2312" w:cs="仿宋_GB2312"/>
          <w:sz w:val="32"/>
          <w:szCs w:val="32"/>
          <w:highlight w:val="none"/>
          <w:lang w:eastAsia="zh-CN"/>
        </w:rPr>
        <w:t>、</w:t>
      </w:r>
      <w:r>
        <w:rPr>
          <w:rFonts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Hans"/>
        </w:rPr>
        <w:t>关于印发</w:t>
      </w:r>
      <w:r>
        <w:rPr>
          <w:rFonts w:hint="eastAsia" w:ascii="仿宋_GB2312" w:hAnsi="仿宋_GB2312" w:eastAsia="仿宋_GB2312" w:cs="仿宋_GB2312"/>
          <w:sz w:val="32"/>
          <w:szCs w:val="32"/>
          <w:highlight w:val="none"/>
        </w:rPr>
        <w:t>&lt;</w:t>
      </w:r>
      <w:r>
        <w:rPr>
          <w:rFonts w:hint="eastAsia" w:ascii="仿宋_GB2312" w:hAnsi="仿宋_GB2312" w:eastAsia="仿宋_GB2312" w:cs="仿宋_GB2312"/>
          <w:sz w:val="32"/>
          <w:szCs w:val="32"/>
          <w:highlight w:val="none"/>
          <w:lang w:eastAsia="zh-Hans"/>
        </w:rPr>
        <w:t>内蒙古自治区职称评审管理实施细则</w:t>
      </w:r>
      <w:r>
        <w:rPr>
          <w:rFonts w:hint="eastAsia" w:ascii="仿宋_GB2312" w:hAnsi="仿宋_GB2312" w:eastAsia="仿宋_GB2312" w:cs="仿宋_GB2312"/>
          <w:sz w:val="32"/>
          <w:szCs w:val="32"/>
          <w:highlight w:val="none"/>
        </w:rPr>
        <w:t>&gt;</w:t>
      </w:r>
      <w:r>
        <w:rPr>
          <w:rFonts w:hint="eastAsia" w:ascii="仿宋_GB2312" w:hAnsi="仿宋_GB2312" w:eastAsia="仿宋_GB2312" w:cs="仿宋_GB2312"/>
          <w:sz w:val="32"/>
          <w:szCs w:val="32"/>
          <w:highlight w:val="none"/>
          <w:lang w:eastAsia="zh-Hans"/>
        </w:rPr>
        <w:t>的通知</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rPr>
        <w:t>（内人社发〔202</w:t>
      </w: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16</w:t>
      </w:r>
      <w:r>
        <w:rPr>
          <w:rFonts w:hint="eastAsia" w:ascii="仿宋_GB2312" w:hAnsi="仿宋_GB2312" w:eastAsia="仿宋_GB2312" w:cs="仿宋_GB2312"/>
          <w:sz w:val="32"/>
          <w:szCs w:val="32"/>
          <w:highlight w:val="none"/>
        </w:rPr>
        <w:t>号）精神，</w:t>
      </w:r>
      <w:r>
        <w:rPr>
          <w:rFonts w:hint="eastAsia" w:ascii="仿宋_GB2312" w:hAnsi="仿宋_GB2312" w:eastAsia="仿宋_GB2312" w:cs="仿宋_GB2312"/>
          <w:sz w:val="32"/>
          <w:szCs w:val="32"/>
          <w:highlight w:val="none"/>
          <w:lang w:val="en-US" w:eastAsia="zh-CN"/>
        </w:rPr>
        <w:t>进一步完善我校教师评价机制，充分发挥教师主动性，加强我校师资队伍建设，铸</w:t>
      </w:r>
      <w:bookmarkStart w:id="10" w:name="_GoBack"/>
      <w:bookmarkEnd w:id="10"/>
      <w:r>
        <w:rPr>
          <w:rFonts w:hint="eastAsia" w:ascii="仿宋_GB2312" w:hAnsi="仿宋_GB2312" w:eastAsia="仿宋_GB2312" w:cs="仿宋_GB2312"/>
          <w:sz w:val="32"/>
          <w:szCs w:val="32"/>
          <w:highlight w:val="none"/>
          <w:lang w:val="en-US" w:eastAsia="zh-CN"/>
        </w:rPr>
        <w:t>牢中华民族共同体意识，</w:t>
      </w:r>
      <w:r>
        <w:rPr>
          <w:rFonts w:hint="eastAsia" w:ascii="仿宋_GB2312" w:hAnsi="仿宋_GB2312" w:eastAsia="仿宋_GB2312" w:cs="仿宋_GB2312"/>
          <w:sz w:val="32"/>
          <w:szCs w:val="32"/>
          <w:highlight w:val="none"/>
        </w:rPr>
        <w:t>结合我校实际，</w:t>
      </w:r>
      <w:r>
        <w:rPr>
          <w:rFonts w:hint="eastAsia" w:ascii="仿宋_GB2312" w:hAnsi="仿宋_GB2312" w:eastAsia="仿宋_GB2312" w:cs="仿宋_GB2312"/>
          <w:sz w:val="32"/>
          <w:szCs w:val="32"/>
          <w:highlight w:val="none"/>
          <w:lang w:val="en-US" w:eastAsia="zh-CN"/>
        </w:rPr>
        <w:t>特制定本办法</w:t>
      </w:r>
      <w:r>
        <w:rPr>
          <w:rFonts w:hint="eastAsia" w:ascii="仿宋_GB2312" w:hAnsi="仿宋_GB2312" w:eastAsia="仿宋_GB2312" w:cs="仿宋_GB2312"/>
          <w:sz w:val="32"/>
          <w:szCs w:val="32"/>
          <w:highlight w:val="none"/>
          <w:lang w:eastAsia="zh-CN"/>
        </w:rPr>
        <w:t>。</w:t>
      </w:r>
    </w:p>
    <w:p>
      <w:pPr>
        <w:pageBreakBefore w:val="0"/>
        <w:kinsoku/>
        <w:wordWrap/>
        <w:overflowPunct/>
        <w:topLinePunct w:val="0"/>
        <w:autoSpaceDE/>
        <w:autoSpaceDN/>
        <w:bidi w:val="0"/>
        <w:spacing w:line="560" w:lineRule="exact"/>
        <w:ind w:firstLine="640" w:firstLineChars="200"/>
        <w:textAlignment w:val="auto"/>
        <w:rPr>
          <w:rFonts w:ascii="黑体" w:hAnsi="黑体" w:eastAsia="黑体" w:cs="黑体"/>
          <w:sz w:val="32"/>
          <w:szCs w:val="32"/>
          <w:highlight w:val="none"/>
        </w:rPr>
      </w:pPr>
      <w:r>
        <w:rPr>
          <w:rFonts w:hint="eastAsia" w:ascii="黑体" w:hAnsi="黑体" w:eastAsia="黑体" w:cs="黑体"/>
          <w:sz w:val="32"/>
          <w:szCs w:val="32"/>
          <w:highlight w:val="none"/>
        </w:rPr>
        <w:t>一、指导思想</w:t>
      </w:r>
    </w:p>
    <w:p>
      <w:pPr>
        <w:pageBreakBefore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Hans"/>
        </w:rPr>
        <w:t>坚持以习近平新时代中国特色社会主义思想为指导，全面贯彻落实党的二十大精神，全面落实深化新时代教育评价改革总体方案要求，克服“五唯”倾向，将代表性成果作为职称评审的重要依据，注重代表性成果质量、社会贡献及支撑人才培养质量。</w:t>
      </w:r>
      <w:r>
        <w:rPr>
          <w:rFonts w:hint="eastAsia" w:ascii="仿宋_GB2312" w:hAnsi="仿宋_GB2312" w:eastAsia="仿宋_GB2312" w:cs="仿宋_GB2312"/>
          <w:sz w:val="32"/>
          <w:szCs w:val="32"/>
          <w:highlight w:val="none"/>
        </w:rPr>
        <w:t>遵循</w:t>
      </w:r>
      <w:r>
        <w:rPr>
          <w:rFonts w:hint="eastAsia" w:ascii="仿宋_GB2312" w:hAnsi="仿宋_GB2312" w:eastAsia="仿宋_GB2312" w:cs="仿宋_GB2312"/>
          <w:sz w:val="32"/>
          <w:szCs w:val="32"/>
          <w:highlight w:val="none"/>
          <w:lang w:eastAsia="zh-Hans"/>
        </w:rPr>
        <w:t>艺术类</w:t>
      </w:r>
      <w:r>
        <w:rPr>
          <w:rFonts w:hint="eastAsia" w:ascii="仿宋_GB2312" w:hAnsi="仿宋_GB2312" w:eastAsia="仿宋_GB2312" w:cs="仿宋_GB2312"/>
          <w:sz w:val="32"/>
          <w:szCs w:val="32"/>
          <w:highlight w:val="none"/>
        </w:rPr>
        <w:t>高校教师职业特点和发展规律，激发教师的活力、动力</w:t>
      </w:r>
      <w:r>
        <w:rPr>
          <w:rFonts w:hint="eastAsia" w:ascii="仿宋_GB2312" w:hAnsi="仿宋_GB2312" w:eastAsia="仿宋_GB2312" w:cs="仿宋_GB2312"/>
          <w:sz w:val="32"/>
          <w:szCs w:val="32"/>
          <w:highlight w:val="none"/>
          <w:lang w:eastAsia="zh-Hans"/>
        </w:rPr>
        <w:t>和</w:t>
      </w:r>
      <w:r>
        <w:rPr>
          <w:rFonts w:hint="eastAsia" w:ascii="仿宋_GB2312" w:hAnsi="仿宋_GB2312" w:eastAsia="仿宋_GB2312" w:cs="仿宋_GB2312"/>
          <w:sz w:val="32"/>
          <w:szCs w:val="32"/>
          <w:highlight w:val="none"/>
        </w:rPr>
        <w:t>创造力，建设一支高素质、专业化、</w:t>
      </w:r>
      <w:r>
        <w:rPr>
          <w:rFonts w:hint="eastAsia" w:ascii="仿宋_GB2312" w:hAnsi="仿宋_GB2312" w:eastAsia="仿宋_GB2312" w:cs="仿宋_GB2312"/>
          <w:sz w:val="32"/>
          <w:szCs w:val="32"/>
          <w:highlight w:val="none"/>
          <w:lang w:eastAsia="zh-Hans"/>
        </w:rPr>
        <w:t>应用</w:t>
      </w:r>
      <w:r>
        <w:rPr>
          <w:rFonts w:hint="eastAsia" w:ascii="仿宋_GB2312" w:hAnsi="仿宋_GB2312" w:eastAsia="仿宋_GB2312" w:cs="仿宋_GB2312"/>
          <w:sz w:val="32"/>
          <w:szCs w:val="32"/>
          <w:highlight w:val="none"/>
        </w:rPr>
        <w:t>型教师队伍。</w:t>
      </w:r>
    </w:p>
    <w:p>
      <w:pPr>
        <w:pageBreakBefore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highlight w:val="none"/>
        </w:rPr>
      </w:pPr>
      <w:r>
        <w:rPr>
          <w:rFonts w:hint="eastAsia" w:ascii="黑体" w:hAnsi="黑体" w:eastAsia="黑体" w:cs="黑体"/>
          <w:sz w:val="32"/>
          <w:szCs w:val="32"/>
          <w:highlight w:val="none"/>
        </w:rPr>
        <w:t>二、基本原则</w:t>
      </w:r>
    </w:p>
    <w:p>
      <w:pPr>
        <w:pageBreakBefore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一）坚持师德第一标准。深入学习贯彻习近平新时代中国特色社会主义思想，以铸牢中华民族共同体意识为工作主线，严把思想政治和师德师风考核，将思想政治和师德表现作为教师职称评审的首要条件。完善思想政治与师德师风考核办法，健全评价标准、指标体系及考核方案，提高考核评价的科学性和实效性。</w:t>
      </w:r>
    </w:p>
    <w:p>
      <w:pPr>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二）突出教育教学能力和业绩。把认真履行教育教学职责作为评价教师的基本要求，突出教书育人实绩，注重对履责绩效、创新成果、人才培养实际贡献的评价。严格教学工作量考核，加强教学质量评价，实行教学效果评价制度。</w:t>
      </w:r>
    </w:p>
    <w:p>
      <w:pPr>
        <w:pageBreakBefore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三）克服唯论文、唯“帽子”、唯学历、唯奖项、唯项目等倾向，继续推行代表性成果评价。突出评价成果质量、原创价值、对社会发展的实际贡献及支撑人才培养等情况。注重质量评价，防止简单量化、重数量轻质量。</w:t>
      </w:r>
    </w:p>
    <w:p>
      <w:pPr>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四）规范使用国家通用语言文字。认真贯彻党和国家语言文字工作法律法规、方针政策，大力推广和普及使用国家通用语言文字，加强语言文字工作建设，规范教师语言文字意识，增强教师文化自信、自觉传承弘扬中华优秀传统文化，铸牢中华民族共同体意识。</w:t>
      </w:r>
    </w:p>
    <w:p>
      <w:pPr>
        <w:keepNext w:val="0"/>
        <w:keepLines w:val="0"/>
        <w:pageBreakBefore w:val="0"/>
        <w:widowControl/>
        <w:suppressLineNumbers w:val="0"/>
        <w:kinsoku/>
        <w:wordWrap/>
        <w:overflowPunct/>
        <w:topLinePunct w:val="0"/>
        <w:autoSpaceDE/>
        <w:autoSpaceDN/>
        <w:bidi w:val="0"/>
        <w:spacing w:before="0" w:beforeAutospacing="0" w:after="0" w:afterAutospacing="0" w:line="560" w:lineRule="exact"/>
        <w:ind w:left="0" w:right="0" w:firstLine="627" w:firstLineChars="196"/>
        <w:jc w:val="both"/>
        <w:textAlignment w:val="auto"/>
        <w:rPr>
          <w:rFonts w:hint="default" w:ascii="黑体" w:hAnsi="宋体" w:eastAsia="黑体" w:cs="仿宋_GB2312"/>
          <w:bCs/>
          <w:kern w:val="0"/>
          <w:sz w:val="32"/>
          <w:szCs w:val="32"/>
          <w:highlight w:val="none"/>
          <w:lang w:val="en-US"/>
        </w:rPr>
      </w:pPr>
      <w:r>
        <w:rPr>
          <w:rFonts w:hint="eastAsia" w:ascii="黑体" w:hAnsi="宋体" w:eastAsia="黑体" w:cs="仿宋_GB2312"/>
          <w:bCs/>
          <w:kern w:val="0"/>
          <w:sz w:val="32"/>
          <w:szCs w:val="32"/>
          <w:highlight w:val="none"/>
          <w:lang w:val="en-US" w:eastAsia="zh-CN" w:bidi="ar"/>
        </w:rPr>
        <w:t>三、适用范围、评审权限、评聘规定</w:t>
      </w:r>
    </w:p>
    <w:p>
      <w:pPr>
        <w:keepNext w:val="0"/>
        <w:keepLines w:val="0"/>
        <w:pageBreakBefore w:val="0"/>
        <w:widowControl w:val="0"/>
        <w:suppressLineNumbers w:val="0"/>
        <w:kinsoku/>
        <w:wordWrap/>
        <w:overflowPunct/>
        <w:topLinePunct w:val="0"/>
        <w:autoSpaceDE/>
        <w:autoSpaceDN/>
        <w:bidi w:val="0"/>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kern w:val="0"/>
          <w:sz w:val="32"/>
          <w:szCs w:val="32"/>
          <w:highlight w:val="none"/>
          <w:lang w:val="en-US" w:eastAsia="zh-CN" w:bidi="ar"/>
        </w:rPr>
      </w:pPr>
      <w:r>
        <w:rPr>
          <w:rFonts w:hint="eastAsia" w:ascii="仿宋_GB2312" w:hAnsi="仿宋_GB2312" w:eastAsia="仿宋_GB2312" w:cs="仿宋_GB2312"/>
          <w:kern w:val="0"/>
          <w:sz w:val="32"/>
          <w:szCs w:val="32"/>
          <w:highlight w:val="none"/>
          <w:lang w:val="en-US" w:eastAsia="zh-CN" w:bidi="ar"/>
        </w:rPr>
        <w:t>（一）适用范围：本办法适用于我校从事教学科研、学生思想政治教育工作的在职人员。高校教师专业技术资格分为初级、中级、副高级、正高级。教师系列对应的名称为助教、讲师、副教授、教授，思政系列对应的名称为研究实习员、助理研究员、副研究员、研究员。</w:t>
      </w:r>
    </w:p>
    <w:p>
      <w:pPr>
        <w:keepNext w:val="0"/>
        <w:keepLines w:val="0"/>
        <w:pageBreakBefore w:val="0"/>
        <w:widowControl w:val="0"/>
        <w:suppressLineNumbers w:val="0"/>
        <w:kinsoku/>
        <w:wordWrap/>
        <w:overflowPunct/>
        <w:topLinePunct w:val="0"/>
        <w:autoSpaceDE/>
        <w:autoSpaceDN/>
        <w:bidi w:val="0"/>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kern w:val="0"/>
          <w:sz w:val="32"/>
          <w:szCs w:val="32"/>
          <w:highlight w:val="none"/>
          <w:lang w:val="en-US" w:eastAsia="zh-CN" w:bidi="ar"/>
        </w:rPr>
      </w:pPr>
      <w:bookmarkStart w:id="1" w:name="_Hlk121829822"/>
      <w:r>
        <w:rPr>
          <w:rFonts w:hint="eastAsia" w:ascii="仿宋_GB2312" w:hAnsi="仿宋_GB2312" w:eastAsia="仿宋_GB2312" w:cs="仿宋_GB2312"/>
          <w:kern w:val="0"/>
          <w:sz w:val="32"/>
          <w:szCs w:val="32"/>
          <w:highlight w:val="none"/>
          <w:lang w:val="en-US" w:eastAsia="zh-CN" w:bidi="ar"/>
        </w:rPr>
        <w:t>根据《内蒙古自治区关于深化高等学校教师职称制度改革的实施意见》(内人社发〔2021〕38号)规定，高等学校学生思想政治教育研究系列职称</w:t>
      </w:r>
      <w:bookmarkEnd w:id="1"/>
      <w:r>
        <w:rPr>
          <w:rFonts w:hint="eastAsia" w:ascii="仿宋_GB2312" w:hAnsi="仿宋_GB2312" w:eastAsia="仿宋_GB2312" w:cs="仿宋_GB2312"/>
          <w:kern w:val="0"/>
          <w:sz w:val="32"/>
          <w:szCs w:val="32"/>
          <w:highlight w:val="none"/>
          <w:lang w:val="en-US" w:eastAsia="zh-CN" w:bidi="ar"/>
        </w:rPr>
        <w:t>适用范围是：学校党委书记、专职副书记，院系（部）分党委书记、专职副书记或党总支书记，校团委、学生工作〔部〕处、组织部、宣传部、统战部、党校、就业处、心理咨询中心、院系团总支、学生工作办公室从事学生思想政治教育的人员和学生专职辅导员，学校纪委书记、副书记及纪委从事学生廉政思想教育工作的专职纪检监察人员。</w:t>
      </w:r>
    </w:p>
    <w:p>
      <w:pPr>
        <w:keepNext w:val="0"/>
        <w:keepLines w:val="0"/>
        <w:pageBreakBefore w:val="0"/>
        <w:widowControl/>
        <w:suppressLineNumbers w:val="0"/>
        <w:kinsoku/>
        <w:wordWrap/>
        <w:overflowPunct/>
        <w:topLinePunct w:val="0"/>
        <w:autoSpaceDE/>
        <w:autoSpaceDN/>
        <w:bidi w:val="0"/>
        <w:spacing w:before="0" w:beforeAutospacing="0" w:after="0" w:afterAutospacing="0" w:line="560" w:lineRule="exact"/>
        <w:ind w:left="0" w:right="0" w:firstLine="645"/>
        <w:jc w:val="both"/>
        <w:textAlignment w:val="auto"/>
        <w:rPr>
          <w:rFonts w:hint="eastAsia" w:ascii="仿宋_GB2312" w:hAnsi="仿宋_GB2312" w:eastAsia="仿宋_GB2312" w:cs="仿宋_GB2312"/>
          <w:kern w:val="0"/>
          <w:sz w:val="32"/>
          <w:szCs w:val="32"/>
          <w:highlight w:val="none"/>
          <w:lang w:val="en-US"/>
        </w:rPr>
      </w:pPr>
      <w:r>
        <w:rPr>
          <w:rFonts w:hint="eastAsia" w:ascii="仿宋_GB2312" w:hAnsi="仿宋_GB2312" w:eastAsia="仿宋_GB2312" w:cs="仿宋_GB2312"/>
          <w:kern w:val="0"/>
          <w:sz w:val="32"/>
          <w:szCs w:val="32"/>
          <w:highlight w:val="none"/>
          <w:lang w:val="en-US" w:eastAsia="zh-CN" w:bidi="ar"/>
        </w:rPr>
        <w:t>（二）评审权限：本办法的评审条件适用评审高校教师、学生思想政治教育研究系列，其他辅助系列（卫生、工程技术、经济、编辑、统计、会计等）评审工作由学校委托自治区相应高评委会评审。</w:t>
      </w:r>
    </w:p>
    <w:p>
      <w:pPr>
        <w:keepNext w:val="0"/>
        <w:keepLines w:val="0"/>
        <w:pageBreakBefore w:val="0"/>
        <w:widowControl/>
        <w:suppressLineNumbers w:val="0"/>
        <w:kinsoku/>
        <w:wordWrap/>
        <w:overflowPunct/>
        <w:topLinePunct w:val="0"/>
        <w:autoSpaceDE/>
        <w:autoSpaceDN/>
        <w:bidi w:val="0"/>
        <w:spacing w:before="0" w:beforeAutospacing="0" w:after="0" w:afterAutospacing="0" w:line="560" w:lineRule="exact"/>
        <w:ind w:left="0" w:right="0" w:firstLine="645"/>
        <w:jc w:val="both"/>
        <w:textAlignment w:val="auto"/>
        <w:rPr>
          <w:rFonts w:hint="eastAsia" w:ascii="仿宋_GB2312" w:hAnsi="仿宋_GB2312" w:eastAsia="仿宋_GB2312" w:cs="仿宋_GB2312"/>
          <w:kern w:val="0"/>
          <w:sz w:val="32"/>
          <w:szCs w:val="32"/>
          <w:highlight w:val="none"/>
          <w:lang w:val="en-US" w:eastAsia="zh-CN" w:bidi="ar"/>
        </w:rPr>
      </w:pPr>
      <w:r>
        <w:rPr>
          <w:rFonts w:hint="eastAsia" w:ascii="仿宋_GB2312" w:hAnsi="仿宋_GB2312" w:eastAsia="仿宋_GB2312" w:cs="仿宋_GB2312"/>
          <w:kern w:val="0"/>
          <w:sz w:val="32"/>
          <w:szCs w:val="32"/>
          <w:highlight w:val="none"/>
          <w:lang w:val="en-US" w:eastAsia="zh-CN" w:bidi="ar"/>
        </w:rPr>
        <w:t>（三）评聘结合：学校根据国家和自治区有关规定，结合当年岗位空缺情况、学科建设需要、师资队伍结构、申报人数开展教师职称评审并将通过评审的教师聘用到相应岗位，实现教师职称评审与岗位聘用有效衔接。</w:t>
      </w:r>
    </w:p>
    <w:p>
      <w:pPr>
        <w:keepNext w:val="0"/>
        <w:keepLines w:val="0"/>
        <w:pageBreakBefore w:val="0"/>
        <w:widowControl/>
        <w:suppressLineNumbers w:val="0"/>
        <w:kinsoku/>
        <w:wordWrap/>
        <w:overflowPunct/>
        <w:topLinePunct w:val="0"/>
        <w:autoSpaceDE/>
        <w:autoSpaceDN/>
        <w:bidi w:val="0"/>
        <w:spacing w:before="0" w:beforeAutospacing="0" w:after="0" w:afterAutospacing="0" w:line="560" w:lineRule="exact"/>
        <w:ind w:left="0" w:right="0" w:firstLine="645"/>
        <w:jc w:val="both"/>
        <w:textAlignment w:val="auto"/>
        <w:rPr>
          <w:rFonts w:hint="eastAsia" w:ascii="仿宋_GB2312" w:hAnsi="仿宋_GB2312" w:eastAsia="仿宋_GB2312" w:cs="仿宋_GB2312"/>
          <w:kern w:val="0"/>
          <w:sz w:val="32"/>
          <w:szCs w:val="32"/>
          <w:highlight w:val="none"/>
          <w:lang w:val="en-US" w:eastAsia="zh-CN" w:bidi="ar"/>
        </w:rPr>
      </w:pPr>
      <w:r>
        <w:rPr>
          <w:rFonts w:hint="eastAsia" w:ascii="仿宋_GB2312" w:hAnsi="仿宋_GB2312" w:eastAsia="仿宋_GB2312" w:cs="仿宋_GB2312"/>
          <w:kern w:val="0"/>
          <w:sz w:val="32"/>
          <w:szCs w:val="32"/>
          <w:highlight w:val="none"/>
          <w:lang w:val="en-US" w:eastAsia="zh-CN" w:bidi="ar"/>
        </w:rPr>
        <w:t>思想政治理论课教师专业技术资格评审单列评审职数评审。</w:t>
      </w:r>
    </w:p>
    <w:p>
      <w:pPr>
        <w:keepNext w:val="0"/>
        <w:keepLines w:val="0"/>
        <w:pageBreakBefore w:val="0"/>
        <w:widowControl/>
        <w:suppressLineNumbers w:val="0"/>
        <w:kinsoku/>
        <w:wordWrap/>
        <w:overflowPunct/>
        <w:topLinePunct w:val="0"/>
        <w:autoSpaceDE/>
        <w:autoSpaceDN/>
        <w:bidi w:val="0"/>
        <w:spacing w:before="0" w:beforeAutospacing="0" w:after="0" w:afterAutospacing="0" w:line="560" w:lineRule="exact"/>
        <w:ind w:left="0" w:right="0" w:firstLine="645"/>
        <w:jc w:val="both"/>
        <w:textAlignment w:val="auto"/>
        <w:rPr>
          <w:rFonts w:hint="eastAsia" w:ascii="仿宋_GB2312" w:hAnsi="仿宋_GB2312" w:eastAsia="仿宋_GB2312" w:cs="仿宋_GB2312"/>
          <w:kern w:val="0"/>
          <w:sz w:val="32"/>
          <w:szCs w:val="32"/>
          <w:highlight w:val="none"/>
          <w:lang w:val="en-US" w:eastAsia="zh-CN" w:bidi="ar"/>
        </w:rPr>
      </w:pPr>
      <w:r>
        <w:rPr>
          <w:rFonts w:hint="eastAsia" w:ascii="仿宋_GB2312" w:hAnsi="仿宋_GB2312" w:eastAsia="仿宋_GB2312" w:cs="仿宋_GB2312"/>
          <w:kern w:val="0"/>
          <w:sz w:val="32"/>
          <w:szCs w:val="32"/>
          <w:highlight w:val="none"/>
          <w:lang w:val="en-US" w:eastAsia="zh-CN" w:bidi="ar"/>
        </w:rPr>
        <w:t>对之前本校评审已取得高校教师职称（高校教师系列、思政系列）但未聘到相应岗位的人员，我校根据实际情况择优聘用。</w:t>
      </w:r>
    </w:p>
    <w:p>
      <w:pPr>
        <w:pageBreakBefore w:val="0"/>
        <w:kinsoku/>
        <w:wordWrap/>
        <w:overflowPunct/>
        <w:topLinePunct w:val="0"/>
        <w:autoSpaceDE/>
        <w:autoSpaceDN/>
        <w:bidi w:val="0"/>
        <w:spacing w:line="560" w:lineRule="exact"/>
        <w:ind w:firstLine="640" w:firstLineChars="200"/>
        <w:textAlignment w:val="auto"/>
        <w:rPr>
          <w:rFonts w:ascii="黑体" w:hAnsi="黑体" w:eastAsia="黑体" w:cs="黑体"/>
          <w:sz w:val="32"/>
          <w:szCs w:val="32"/>
          <w:highlight w:val="none"/>
        </w:rPr>
      </w:pPr>
      <w:r>
        <w:rPr>
          <w:rFonts w:hint="eastAsia" w:ascii="黑体" w:hAnsi="黑体" w:eastAsia="黑体" w:cs="黑体"/>
          <w:sz w:val="32"/>
          <w:szCs w:val="32"/>
          <w:highlight w:val="none"/>
          <w:lang w:val="en-US" w:eastAsia="zh-CN"/>
        </w:rPr>
        <w:t>四</w:t>
      </w:r>
      <w:r>
        <w:rPr>
          <w:rFonts w:hint="eastAsia" w:ascii="黑体" w:hAnsi="黑体" w:eastAsia="黑体" w:cs="黑体"/>
          <w:sz w:val="32"/>
          <w:szCs w:val="32"/>
          <w:highlight w:val="none"/>
        </w:rPr>
        <w:t>、基本条件</w:t>
      </w:r>
    </w:p>
    <w:p>
      <w:pPr>
        <w:pageBreakBefore w:val="0"/>
        <w:kinsoku/>
        <w:wordWrap/>
        <w:overflowPunct/>
        <w:topLinePunct w:val="0"/>
        <w:autoSpaceDE/>
        <w:autoSpaceDN/>
        <w:bidi w:val="0"/>
        <w:spacing w:line="560" w:lineRule="exact"/>
        <w:ind w:firstLine="640" w:firstLineChars="200"/>
        <w:textAlignment w:val="auto"/>
        <w:rPr>
          <w:rFonts w:hint="eastAsia" w:ascii="方正楷体_GB2312" w:hAnsi="方正楷体_GB2312" w:eastAsia="方正楷体_GB2312" w:cs="方正楷体_GB2312"/>
          <w:sz w:val="32"/>
          <w:szCs w:val="32"/>
          <w:highlight w:val="none"/>
        </w:rPr>
      </w:pPr>
      <w:r>
        <w:rPr>
          <w:rFonts w:hint="eastAsia" w:ascii="方正楷体_GB2312" w:hAnsi="方正楷体_GB2312" w:eastAsia="方正楷体_GB2312" w:cs="方正楷体_GB2312"/>
          <w:sz w:val="32"/>
          <w:szCs w:val="32"/>
          <w:highlight w:val="none"/>
        </w:rPr>
        <w:t>（一）</w:t>
      </w:r>
      <w:r>
        <w:rPr>
          <w:rFonts w:hint="eastAsia" w:ascii="方正楷体_GB2312" w:hAnsi="方正楷体_GB2312" w:eastAsia="方正楷体_GB2312" w:cs="方正楷体_GB2312"/>
          <w:sz w:val="32"/>
          <w:szCs w:val="32"/>
          <w:highlight w:val="none"/>
        </w:rPr>
        <w:tab/>
      </w:r>
      <w:r>
        <w:rPr>
          <w:rFonts w:hint="eastAsia" w:ascii="方正楷体_GB2312" w:hAnsi="方正楷体_GB2312" w:eastAsia="方正楷体_GB2312" w:cs="方正楷体_GB2312"/>
          <w:sz w:val="32"/>
          <w:szCs w:val="32"/>
          <w:highlight w:val="none"/>
        </w:rPr>
        <w:t>思想政治素质和职业道德条件</w:t>
      </w:r>
    </w:p>
    <w:p>
      <w:pPr>
        <w:pageBreakBefore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坚持以习近平新时代中国特色社会主义思想为指导，拥护中国共产党的领导，贯彻党的教育方针，忠实履行《高等学校教师职业道德规范》《新时代高校教师职业行为十项准则》，具有坚定的政治方向，具有良好的思想政治素质和师德修养。</w:t>
      </w:r>
    </w:p>
    <w:p>
      <w:pPr>
        <w:pageBreakBefore w:val="0"/>
        <w:kinsoku/>
        <w:wordWrap/>
        <w:overflowPunct/>
        <w:topLinePunct w:val="0"/>
        <w:autoSpaceDE/>
        <w:autoSpaceDN/>
        <w:bidi w:val="0"/>
        <w:spacing w:line="560" w:lineRule="exact"/>
        <w:ind w:firstLine="640" w:firstLineChars="200"/>
        <w:textAlignment w:val="auto"/>
        <w:rPr>
          <w:rFonts w:hint="eastAsia" w:ascii="方正楷体_GB2312" w:hAnsi="方正楷体_GB2312" w:eastAsia="方正楷体_GB2312" w:cs="方正楷体_GB2312"/>
          <w:sz w:val="32"/>
          <w:szCs w:val="32"/>
          <w:highlight w:val="none"/>
        </w:rPr>
      </w:pPr>
      <w:r>
        <w:rPr>
          <w:rFonts w:hint="eastAsia" w:ascii="方正楷体_GB2312" w:hAnsi="方正楷体_GB2312" w:eastAsia="方正楷体_GB2312" w:cs="方正楷体_GB2312"/>
          <w:sz w:val="32"/>
          <w:szCs w:val="32"/>
          <w:highlight w:val="none"/>
        </w:rPr>
        <w:t>（二）</w:t>
      </w:r>
      <w:r>
        <w:rPr>
          <w:rFonts w:hint="eastAsia" w:ascii="方正楷体_GB2312" w:hAnsi="方正楷体_GB2312" w:eastAsia="方正楷体_GB2312" w:cs="方正楷体_GB2312"/>
          <w:sz w:val="32"/>
          <w:szCs w:val="32"/>
          <w:highlight w:val="none"/>
        </w:rPr>
        <w:tab/>
      </w:r>
      <w:r>
        <w:rPr>
          <w:rFonts w:hint="eastAsia" w:ascii="方正楷体_GB2312" w:hAnsi="方正楷体_GB2312" w:eastAsia="方正楷体_GB2312" w:cs="方正楷体_GB2312"/>
          <w:sz w:val="32"/>
          <w:szCs w:val="32"/>
          <w:highlight w:val="none"/>
        </w:rPr>
        <w:t>教书育人条件</w:t>
      </w:r>
    </w:p>
    <w:p>
      <w:pPr>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具备教师岗位相应的专业知识和教育教学能力，教师岗位要求近5年年均教学工作量</w:t>
      </w:r>
      <w:r>
        <w:rPr>
          <w:rFonts w:hint="eastAsia" w:ascii="仿宋_GB2312" w:hAnsi="仿宋_GB2312" w:eastAsia="仿宋_GB2312" w:cs="仿宋_GB2312"/>
          <w:sz w:val="32"/>
          <w:szCs w:val="32"/>
          <w:highlight w:val="none"/>
          <w:lang w:val="en-US" w:eastAsia="zh-CN"/>
        </w:rPr>
        <w:t>要求如下：</w:t>
      </w:r>
      <w:r>
        <w:rPr>
          <w:rFonts w:hint="eastAsia" w:ascii="仿宋_GB2312" w:hAnsi="仿宋_GB2312" w:eastAsia="仿宋_GB2312" w:cs="仿宋_GB2312"/>
          <w:sz w:val="32"/>
          <w:szCs w:val="32"/>
          <w:highlight w:val="none"/>
        </w:rPr>
        <w:t>公共课、专业与专业基础理论课教师（不含一对一课与伴奏课）每学年（大学、附中均按32周计算）完成教学工作量</w:t>
      </w:r>
      <w:r>
        <w:rPr>
          <w:rFonts w:hint="eastAsia" w:ascii="仿宋_GB2312" w:hAnsi="仿宋_GB2312" w:eastAsia="仿宋_GB2312" w:cs="仿宋_GB2312"/>
          <w:sz w:val="32"/>
          <w:szCs w:val="32"/>
          <w:highlight w:val="none"/>
          <w:lang w:val="en-US" w:eastAsia="zh-CN"/>
        </w:rPr>
        <w:t>224</w:t>
      </w:r>
      <w:r>
        <w:rPr>
          <w:rFonts w:hint="eastAsia" w:ascii="仿宋_GB2312" w:hAnsi="仿宋_GB2312" w:eastAsia="仿宋_GB2312" w:cs="仿宋_GB2312"/>
          <w:sz w:val="32"/>
          <w:szCs w:val="32"/>
          <w:highlight w:val="none"/>
        </w:rPr>
        <w:t>课时；音乐类一对一授课教师每学年完成教学工作量</w:t>
      </w:r>
      <w:r>
        <w:rPr>
          <w:rFonts w:hint="eastAsia" w:ascii="仿宋_GB2312" w:hAnsi="仿宋_GB2312" w:eastAsia="仿宋_GB2312" w:cs="仿宋_GB2312"/>
          <w:sz w:val="32"/>
          <w:szCs w:val="32"/>
          <w:highlight w:val="none"/>
          <w:lang w:val="en-US" w:eastAsia="zh-CN"/>
        </w:rPr>
        <w:t>336</w:t>
      </w:r>
      <w:r>
        <w:rPr>
          <w:rFonts w:hint="eastAsia" w:ascii="仿宋_GB2312" w:hAnsi="仿宋_GB2312" w:eastAsia="仿宋_GB2312" w:cs="仿宋_GB2312"/>
          <w:sz w:val="32"/>
          <w:szCs w:val="32"/>
          <w:highlight w:val="none"/>
        </w:rPr>
        <w:t>课时；伴奏课教师每学年完成教学工作量</w:t>
      </w:r>
      <w:r>
        <w:rPr>
          <w:rFonts w:hint="eastAsia" w:ascii="仿宋_GB2312" w:hAnsi="仿宋_GB2312" w:eastAsia="仿宋_GB2312" w:cs="仿宋_GB2312"/>
          <w:sz w:val="32"/>
          <w:szCs w:val="32"/>
          <w:highlight w:val="none"/>
          <w:lang w:val="en-US" w:eastAsia="zh-CN"/>
        </w:rPr>
        <w:t>403</w:t>
      </w:r>
      <w:r>
        <w:rPr>
          <w:rFonts w:hint="eastAsia" w:ascii="仿宋_GB2312" w:hAnsi="仿宋_GB2312" w:eastAsia="仿宋_GB2312" w:cs="仿宋_GB2312"/>
          <w:sz w:val="32"/>
          <w:szCs w:val="32"/>
          <w:highlight w:val="none"/>
        </w:rPr>
        <w:t>课时</w:t>
      </w:r>
      <w:r>
        <w:rPr>
          <w:rFonts w:hint="eastAsia" w:ascii="仿宋_GB2312" w:hAnsi="仿宋_GB2312" w:eastAsia="仿宋_GB2312" w:cs="仿宋_GB2312"/>
          <w:sz w:val="32"/>
          <w:szCs w:val="32"/>
          <w:highlight w:val="none"/>
          <w:lang w:eastAsia="zh-CN"/>
        </w:rPr>
        <w:t>。</w:t>
      </w:r>
    </w:p>
    <w:p>
      <w:pPr>
        <w:pageBreakBefore w:val="0"/>
        <w:kinsoku/>
        <w:wordWrap/>
        <w:overflowPunct/>
        <w:topLinePunct w:val="0"/>
        <w:autoSpaceDE/>
        <w:autoSpaceDN/>
        <w:bidi w:val="0"/>
        <w:spacing w:line="560" w:lineRule="exact"/>
        <w:ind w:firstLine="640" w:firstLineChars="20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工作量减免按照《内蒙古艺术学院绩效工资实施办法》相关规定执行。</w:t>
      </w:r>
    </w:p>
    <w:p>
      <w:pPr>
        <w:pageBreakBefore w:val="0"/>
        <w:kinsoku/>
        <w:wordWrap/>
        <w:overflowPunct/>
        <w:topLinePunct w:val="0"/>
        <w:autoSpaceDE/>
        <w:autoSpaceDN/>
        <w:bidi w:val="0"/>
        <w:spacing w:line="560" w:lineRule="exact"/>
        <w:ind w:firstLine="640" w:firstLineChars="20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晋升高一级职称的青年教师（45周岁及以下），任现职以来须有一年以上担任辅导员、班主任等学生工作经历，或支教</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参与乡村振兴</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参加孔子学院及国际组织援外交流等工作经历</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马克思主义学院和通识教育学院教师任现职以来须有一年以上担任思政导师或社团指导教师的工作经历</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，并考核合格。</w:t>
      </w:r>
    </w:p>
    <w:p>
      <w:pPr>
        <w:pageBreakBefore w:val="0"/>
        <w:kinsoku/>
        <w:wordWrap/>
        <w:overflowPunct/>
        <w:topLinePunct w:val="0"/>
        <w:autoSpaceDE/>
        <w:autoSpaceDN/>
        <w:bidi w:val="0"/>
        <w:spacing w:line="560" w:lineRule="exact"/>
        <w:ind w:firstLine="640" w:firstLineChars="200"/>
        <w:textAlignment w:val="auto"/>
        <w:rPr>
          <w:rFonts w:hint="eastAsia" w:ascii="方正楷体_GB2312" w:hAnsi="方正楷体_GB2312" w:eastAsia="方正楷体_GB2312" w:cs="方正楷体_GB2312"/>
          <w:sz w:val="32"/>
          <w:szCs w:val="32"/>
          <w:highlight w:val="none"/>
          <w:lang w:eastAsia="zh-CN"/>
        </w:rPr>
      </w:pPr>
      <w:r>
        <w:rPr>
          <w:rFonts w:hint="eastAsia" w:ascii="方正楷体_GB2312" w:hAnsi="方正楷体_GB2312" w:eastAsia="方正楷体_GB2312" w:cs="方正楷体_GB2312"/>
          <w:sz w:val="32"/>
          <w:szCs w:val="32"/>
          <w:highlight w:val="none"/>
        </w:rPr>
        <w:t>（三）</w:t>
      </w:r>
      <w:r>
        <w:rPr>
          <w:rFonts w:hint="eastAsia" w:ascii="方正楷体_GB2312" w:hAnsi="方正楷体_GB2312" w:eastAsia="方正楷体_GB2312" w:cs="方正楷体_GB2312"/>
          <w:sz w:val="32"/>
          <w:szCs w:val="32"/>
          <w:highlight w:val="none"/>
        </w:rPr>
        <w:tab/>
      </w:r>
      <w:r>
        <w:rPr>
          <w:rFonts w:hint="eastAsia" w:ascii="方正楷体_GB2312" w:hAnsi="方正楷体_GB2312" w:eastAsia="方正楷体_GB2312" w:cs="方正楷体_GB2312"/>
          <w:sz w:val="32"/>
          <w:szCs w:val="32"/>
          <w:highlight w:val="none"/>
        </w:rPr>
        <w:t>教师资格条件</w:t>
      </w:r>
    </w:p>
    <w:p>
      <w:pPr>
        <w:pageBreakBefore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教师</w:t>
      </w:r>
      <w:r>
        <w:rPr>
          <w:rFonts w:hint="eastAsia" w:ascii="仿宋_GB2312" w:hAnsi="仿宋_GB2312" w:eastAsia="仿宋_GB2312" w:cs="仿宋_GB2312"/>
          <w:sz w:val="32"/>
          <w:szCs w:val="32"/>
          <w:highlight w:val="none"/>
          <w:lang w:val="en-US" w:eastAsia="zh-CN"/>
        </w:rPr>
        <w:t>申报高等学校教师系列、高等学校学生思想政治教育研究系列职称</w:t>
      </w:r>
      <w:r>
        <w:rPr>
          <w:rFonts w:hint="eastAsia" w:ascii="仿宋_GB2312" w:hAnsi="仿宋_GB2312" w:eastAsia="仿宋_GB2312" w:cs="仿宋_GB2312"/>
          <w:sz w:val="32"/>
          <w:szCs w:val="32"/>
          <w:highlight w:val="none"/>
        </w:rPr>
        <w:t>须取得高等学校教师资格</w:t>
      </w:r>
      <w:r>
        <w:rPr>
          <w:rFonts w:hint="eastAsia" w:ascii="仿宋_GB2312" w:hAnsi="仿宋_GB2312" w:eastAsia="仿宋_GB2312" w:cs="仿宋_GB2312"/>
          <w:sz w:val="32"/>
          <w:szCs w:val="32"/>
          <w:highlight w:val="none"/>
          <w:lang w:val="en-US" w:eastAsia="zh-CN"/>
        </w:rPr>
        <w:t>；教师申报中等职业教师系列职称须取得高等学校教师资格或</w:t>
      </w:r>
      <w:r>
        <w:rPr>
          <w:rFonts w:hint="eastAsia" w:ascii="仿宋_GB2312" w:hAnsi="仿宋_GB2312" w:eastAsia="仿宋_GB2312" w:cs="仿宋_GB2312"/>
          <w:sz w:val="32"/>
          <w:szCs w:val="32"/>
          <w:highlight w:val="none"/>
        </w:rPr>
        <w:t>中等职业教师资格。</w:t>
      </w:r>
    </w:p>
    <w:p>
      <w:pPr>
        <w:pageBreakBefore w:val="0"/>
        <w:kinsoku/>
        <w:wordWrap/>
        <w:overflowPunct/>
        <w:topLinePunct w:val="0"/>
        <w:autoSpaceDE/>
        <w:autoSpaceDN/>
        <w:bidi w:val="0"/>
        <w:spacing w:line="560" w:lineRule="exact"/>
        <w:ind w:firstLine="640" w:firstLineChars="200"/>
        <w:textAlignment w:val="auto"/>
        <w:rPr>
          <w:rFonts w:hint="eastAsia" w:ascii="方正楷体_GB2312" w:hAnsi="方正楷体_GB2312" w:eastAsia="方正楷体_GB2312" w:cs="方正楷体_GB2312"/>
          <w:sz w:val="32"/>
          <w:szCs w:val="32"/>
          <w:highlight w:val="none"/>
        </w:rPr>
      </w:pPr>
      <w:r>
        <w:rPr>
          <w:rFonts w:hint="eastAsia" w:ascii="方正楷体_GB2312" w:hAnsi="方正楷体_GB2312" w:eastAsia="方正楷体_GB2312" w:cs="方正楷体_GB2312"/>
          <w:sz w:val="32"/>
          <w:szCs w:val="32"/>
          <w:highlight w:val="none"/>
        </w:rPr>
        <w:t>（四）</w:t>
      </w:r>
      <w:r>
        <w:rPr>
          <w:rFonts w:hint="eastAsia" w:ascii="方正楷体_GB2312" w:hAnsi="方正楷体_GB2312" w:eastAsia="方正楷体_GB2312" w:cs="方正楷体_GB2312"/>
          <w:sz w:val="32"/>
          <w:szCs w:val="32"/>
          <w:highlight w:val="none"/>
        </w:rPr>
        <w:tab/>
      </w:r>
      <w:r>
        <w:rPr>
          <w:rFonts w:hint="eastAsia" w:ascii="方正楷体_GB2312" w:hAnsi="方正楷体_GB2312" w:eastAsia="方正楷体_GB2312" w:cs="方正楷体_GB2312"/>
          <w:sz w:val="32"/>
          <w:szCs w:val="32"/>
          <w:highlight w:val="none"/>
        </w:rPr>
        <w:t>学历、资历条件</w:t>
      </w:r>
    </w:p>
    <w:p>
      <w:pPr>
        <w:pageBreakBefore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1.申报教授（研究员）职称应具备大学本科及以上学历或学士及以上学位，且受聘副教授（副研究员）岗位满5年。</w:t>
      </w:r>
    </w:p>
    <w:p>
      <w:pPr>
        <w:pageBreakBefore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2.申报副教授（副研究员）职称应符合下列条件之一：</w:t>
      </w:r>
    </w:p>
    <w:p>
      <w:pPr>
        <w:pageBreakBefore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（1）具备博士学位，且受聘讲师（助理研究员）岗位满2年；</w:t>
      </w:r>
    </w:p>
    <w:p>
      <w:pPr>
        <w:pageBreakBefore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（2）具备大学本科及以上学历或学士及以上学位，且受聘讲师（助理研究员）岗位满5年；</w:t>
      </w:r>
    </w:p>
    <w:p>
      <w:pPr>
        <w:pageBreakBefore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（3）博士后出站人员，经学校考核能够胜任高校教学科研工作，并符合申报副教授的其他条件，可以直接申报副教授。</w:t>
      </w:r>
    </w:p>
    <w:p>
      <w:pPr>
        <w:pageBreakBefore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3.申报讲师（助理研究员）职称应符合下列条件之一：</w:t>
      </w:r>
    </w:p>
    <w:p>
      <w:pPr>
        <w:pageBreakBefore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（1）具备博士学位，经考察能胜任和履行讲师（助理研究员）职责；</w:t>
      </w:r>
    </w:p>
    <w:p>
      <w:pPr>
        <w:pageBreakBefore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（2）具备硕士学位，且受聘助教（研究实习员）岗位满2年；</w:t>
      </w:r>
    </w:p>
    <w:p>
      <w:pPr>
        <w:pageBreakBefore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（3）具备大学本科学历或学士学位，且受聘助教（研究实习员）岗位满4年。</w:t>
      </w:r>
    </w:p>
    <w:p>
      <w:pPr>
        <w:pageBreakBefore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4.申报助教（研究实习员）职称应符合下列条件之一：</w:t>
      </w:r>
    </w:p>
    <w:p>
      <w:pPr>
        <w:pageBreakBefore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（1）具备硕士学位；</w:t>
      </w:r>
    </w:p>
    <w:p>
      <w:pPr>
        <w:pageBreakBefore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（2）具备大学本科学历或学士学位，见习1年期满且考核合格。</w:t>
      </w:r>
    </w:p>
    <w:p>
      <w:pPr>
        <w:pageBreakBefore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5.本评审条件中规定的学历（学位），是指国民教育序列中与申报学科相同或相近专业的学历（学位），取得国外（境外）学历，须提供教育部学历（学位）认证材料。所学专业与申报学科不同的，须参加申报学科1年以上进修并取得结业证书（思政系列除外）。</w:t>
      </w:r>
    </w:p>
    <w:p>
      <w:pPr>
        <w:pageBreakBefore w:val="0"/>
        <w:kinsoku/>
        <w:wordWrap/>
        <w:overflowPunct/>
        <w:topLinePunct w:val="0"/>
        <w:autoSpaceDE/>
        <w:autoSpaceDN/>
        <w:bidi w:val="0"/>
        <w:spacing w:line="560" w:lineRule="exact"/>
        <w:ind w:firstLine="640" w:firstLineChars="200"/>
        <w:textAlignment w:val="auto"/>
        <w:rPr>
          <w:rFonts w:hint="eastAsia" w:ascii="方正楷体_GB2312" w:hAnsi="方正楷体_GB2312" w:eastAsia="方正楷体_GB2312" w:cs="方正楷体_GB2312"/>
          <w:sz w:val="32"/>
          <w:szCs w:val="32"/>
          <w:highlight w:val="none"/>
        </w:rPr>
      </w:pPr>
      <w:r>
        <w:rPr>
          <w:rFonts w:hint="eastAsia" w:ascii="方正楷体_GB2312" w:hAnsi="方正楷体_GB2312" w:eastAsia="方正楷体_GB2312" w:cs="方正楷体_GB2312"/>
          <w:sz w:val="32"/>
          <w:szCs w:val="32"/>
          <w:highlight w:val="none"/>
        </w:rPr>
        <w:t>（五）考核及继续教育条件</w:t>
      </w:r>
    </w:p>
    <w:p>
      <w:pPr>
        <w:pageBreakBefore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1.近三年年度考核和师德师风考核均为合格及以上。</w:t>
      </w:r>
    </w:p>
    <w:p>
      <w:pPr>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w:t>
      </w:r>
      <w:r>
        <w:rPr>
          <w:rFonts w:hint="eastAsia" w:ascii="仿宋_GB2312" w:hAnsi="仿宋_GB2312" w:eastAsia="仿宋_GB2312" w:cs="仿宋_GB2312"/>
          <w:sz w:val="32"/>
          <w:szCs w:val="32"/>
          <w:highlight w:val="none"/>
          <w:lang w:val="en-US" w:eastAsia="zh-CN"/>
        </w:rPr>
        <w:t>完成规定的继续教育培训。</w:t>
      </w:r>
      <w:r>
        <w:rPr>
          <w:rFonts w:hint="eastAsia" w:ascii="仿宋_GB2312" w:hAnsi="仿宋_GB2312" w:eastAsia="仿宋_GB2312" w:cs="仿宋_GB2312"/>
          <w:sz w:val="32"/>
          <w:szCs w:val="32"/>
          <w:highlight w:val="none"/>
        </w:rPr>
        <w:t>参加高、中级专业技术资格评审的人员，须完成近三年公需科目和专业科目继续教育学习（符合学时减免政策人员按相关规定执行）；申报初级职称评审，需完成当年公需科目和专业科目学习。</w:t>
      </w:r>
    </w:p>
    <w:p>
      <w:pPr>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w:t>
      </w:r>
      <w:r>
        <w:rPr>
          <w:rFonts w:hint="eastAsia" w:ascii="仿宋_GB2312" w:hAnsi="仿宋_GB2312" w:eastAsia="仿宋_GB2312" w:cs="仿宋_GB2312"/>
          <w:sz w:val="32"/>
          <w:szCs w:val="32"/>
          <w:highlight w:val="none"/>
          <w:lang w:val="en-US" w:eastAsia="zh-CN"/>
        </w:rPr>
        <w:t>继续教育减免学时规定：</w:t>
      </w:r>
      <w:r>
        <w:rPr>
          <w:rFonts w:hint="eastAsia" w:ascii="仿宋_GB2312" w:hAnsi="仿宋_GB2312" w:eastAsia="仿宋_GB2312" w:cs="仿宋_GB2312"/>
          <w:sz w:val="32"/>
          <w:szCs w:val="32"/>
          <w:highlight w:val="none"/>
        </w:rPr>
        <w:t>男满55周岁、女满50周岁的专业技术人员参加职称评审时，不要求继续教育学时；男满50周岁、女满45周岁的专业技术人员参加职称评审时，完成近三年中一个年度学时要求即可。</w:t>
      </w:r>
    </w:p>
    <w:p>
      <w:pPr>
        <w:pageBreakBefore w:val="0"/>
        <w:kinsoku/>
        <w:wordWrap/>
        <w:overflowPunct/>
        <w:topLinePunct w:val="0"/>
        <w:autoSpaceDE/>
        <w:autoSpaceDN/>
        <w:bidi w:val="0"/>
        <w:spacing w:line="560" w:lineRule="exact"/>
        <w:ind w:firstLine="640" w:firstLineChars="200"/>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五、有关规定及要求</w:t>
      </w:r>
    </w:p>
    <w:p>
      <w:pPr>
        <w:pageBreakBefore w:val="0"/>
        <w:kinsoku/>
        <w:wordWrap/>
        <w:overflowPunct/>
        <w:topLinePunct w:val="0"/>
        <w:autoSpaceDE/>
        <w:autoSpaceDN/>
        <w:bidi w:val="0"/>
        <w:spacing w:line="560" w:lineRule="exact"/>
        <w:ind w:firstLine="640" w:firstLineChars="200"/>
        <w:textAlignment w:val="auto"/>
        <w:rPr>
          <w:rFonts w:hint="eastAsia" w:ascii="方正楷体_GB2312" w:hAnsi="方正楷体_GB2312" w:eastAsia="方正楷体_GB2312" w:cs="方正楷体_GB2312"/>
          <w:sz w:val="32"/>
          <w:szCs w:val="32"/>
          <w:highlight w:val="none"/>
          <w:lang w:eastAsia="zh-CN"/>
        </w:rPr>
      </w:pPr>
      <w:r>
        <w:rPr>
          <w:rFonts w:hint="eastAsia" w:ascii="方正楷体_GB2312" w:hAnsi="方正楷体_GB2312" w:eastAsia="方正楷体_GB2312" w:cs="方正楷体_GB2312"/>
          <w:sz w:val="32"/>
          <w:szCs w:val="32"/>
          <w:highlight w:val="none"/>
        </w:rPr>
        <w:t>（</w:t>
      </w:r>
      <w:r>
        <w:rPr>
          <w:rFonts w:hint="eastAsia" w:ascii="方正楷体_GB2312" w:hAnsi="方正楷体_GB2312" w:eastAsia="方正楷体_GB2312" w:cs="方正楷体_GB2312"/>
          <w:sz w:val="32"/>
          <w:szCs w:val="32"/>
          <w:highlight w:val="none"/>
          <w:lang w:val="en-US" w:eastAsia="zh-CN"/>
        </w:rPr>
        <w:t>一</w:t>
      </w:r>
      <w:r>
        <w:rPr>
          <w:rFonts w:hint="eastAsia" w:ascii="方正楷体_GB2312" w:hAnsi="方正楷体_GB2312" w:eastAsia="方正楷体_GB2312" w:cs="方正楷体_GB2312"/>
          <w:sz w:val="32"/>
          <w:szCs w:val="32"/>
          <w:highlight w:val="none"/>
        </w:rPr>
        <w:t>）破格条件</w:t>
      </w:r>
    </w:p>
    <w:p>
      <w:pPr>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除按评审年度自治区职称改革工作有关文件规定执行外，符合下列条件之一者，可破格申报相应级别高级职称。</w:t>
      </w:r>
    </w:p>
    <w:p>
      <w:pPr>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1.“全国教书育人楷模”或“全国模范教师”或“国家教学名师”或国家级教学成果一等奖获得者（前5名），可不受学历、资历条件的限制，破格申报高一级专业技术资格；</w:t>
      </w:r>
    </w:p>
    <w:p>
      <w:pPr>
        <w:keepNext w:val="0"/>
        <w:keepLines w:val="0"/>
        <w:widowControl/>
        <w:suppressLineNumbers w:val="0"/>
        <w:ind w:firstLine="620" w:firstLineChars="200"/>
        <w:jc w:val="left"/>
        <w:rPr>
          <w:highlight w:val="none"/>
        </w:rPr>
      </w:pPr>
      <w:r>
        <w:rPr>
          <w:rFonts w:ascii="仿宋_GB2312" w:hAnsi="宋体" w:eastAsia="仿宋_GB2312" w:cs="仿宋_GB2312"/>
          <w:color w:val="000000"/>
          <w:kern w:val="0"/>
          <w:sz w:val="31"/>
          <w:szCs w:val="31"/>
          <w:highlight w:val="none"/>
          <w:lang w:val="en-US" w:eastAsia="zh-CN" w:bidi="ar"/>
        </w:rPr>
        <w:t>2.国家级教学成果二等奖获得者（前3名，含主持</w:t>
      </w:r>
      <w:r>
        <w:rPr>
          <w:rFonts w:hint="eastAsia" w:ascii="仿宋_GB2312" w:hAnsi="宋体" w:eastAsia="仿宋_GB2312" w:cs="仿宋_GB2312"/>
          <w:color w:val="000000"/>
          <w:kern w:val="0"/>
          <w:sz w:val="31"/>
          <w:szCs w:val="31"/>
          <w:highlight w:val="none"/>
          <w:lang w:val="en-US" w:eastAsia="zh-CN" w:bidi="ar"/>
        </w:rPr>
        <w:t>人）或“全国优秀教师”获得者，或科技成果省部级二等奖获得者，在取得中级职称后，具备符合要求的学历和业绩条件，可申报副高级专业技术资格。</w:t>
      </w:r>
    </w:p>
    <w:p>
      <w:pPr>
        <w:pageBreakBefore w:val="0"/>
        <w:kinsoku/>
        <w:wordWrap/>
        <w:overflowPunct/>
        <w:topLinePunct w:val="0"/>
        <w:autoSpaceDE/>
        <w:autoSpaceDN/>
        <w:bidi w:val="0"/>
        <w:spacing w:line="560" w:lineRule="exact"/>
        <w:ind w:firstLine="640" w:firstLineChars="200"/>
        <w:textAlignment w:val="auto"/>
        <w:rPr>
          <w:rFonts w:hint="eastAsia" w:ascii="方正楷体_GB2312" w:hAnsi="方正楷体_GB2312" w:eastAsia="方正楷体_GB2312" w:cs="方正楷体_GB2312"/>
          <w:sz w:val="32"/>
          <w:szCs w:val="32"/>
          <w:highlight w:val="none"/>
        </w:rPr>
      </w:pPr>
      <w:r>
        <w:rPr>
          <w:rFonts w:hint="eastAsia" w:ascii="方正楷体_GB2312" w:hAnsi="方正楷体_GB2312" w:eastAsia="方正楷体_GB2312" w:cs="方正楷体_GB2312"/>
          <w:sz w:val="32"/>
          <w:szCs w:val="32"/>
          <w:highlight w:val="none"/>
        </w:rPr>
        <w:t>（</w:t>
      </w:r>
      <w:r>
        <w:rPr>
          <w:rFonts w:hint="eastAsia" w:ascii="方正楷体_GB2312" w:hAnsi="方正楷体_GB2312" w:eastAsia="方正楷体_GB2312" w:cs="方正楷体_GB2312"/>
          <w:sz w:val="32"/>
          <w:szCs w:val="32"/>
          <w:highlight w:val="none"/>
          <w:lang w:val="en-US" w:eastAsia="zh-CN"/>
        </w:rPr>
        <w:t>二</w:t>
      </w:r>
      <w:r>
        <w:rPr>
          <w:rFonts w:hint="eastAsia" w:ascii="方正楷体_GB2312" w:hAnsi="方正楷体_GB2312" w:eastAsia="方正楷体_GB2312" w:cs="方正楷体_GB2312"/>
          <w:sz w:val="32"/>
          <w:szCs w:val="32"/>
          <w:highlight w:val="none"/>
        </w:rPr>
        <w:t>）职称评审绿色通道</w:t>
      </w:r>
    </w:p>
    <w:p>
      <w:pPr>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对取得重大基础研究和前沿技术突破、解决重大工程技术难题、在经济社会事业发展中做出重大贡献的教师以及招聘引进的高层次人才、急需紧缺人才等，在严把质量和程序的前提下，按照</w:t>
      </w:r>
      <w:r>
        <w:rPr>
          <w:rFonts w:hint="eastAsia" w:ascii="仿宋_GB2312" w:hAnsi="仿宋_GB2312" w:eastAsia="仿宋_GB2312" w:cs="仿宋_GB2312"/>
          <w:sz w:val="32"/>
          <w:szCs w:val="32"/>
          <w:highlight w:val="none"/>
          <w:lang w:val="en-US" w:eastAsia="zh-CN"/>
        </w:rPr>
        <w:t>自治区相关文件、通知</w:t>
      </w:r>
      <w:r>
        <w:rPr>
          <w:rFonts w:hint="eastAsia" w:ascii="仿宋_GB2312" w:hAnsi="仿宋_GB2312" w:eastAsia="仿宋_GB2312" w:cs="仿宋_GB2312"/>
          <w:sz w:val="32"/>
          <w:szCs w:val="32"/>
          <w:highlight w:val="none"/>
        </w:rPr>
        <w:t>要求开展绿色通道职称评审，引导广大教师和高层次人才主动服务国家和自治区重大战略需求。</w:t>
      </w:r>
    </w:p>
    <w:p>
      <w:pPr>
        <w:pageBreakBefore w:val="0"/>
        <w:kinsoku/>
        <w:wordWrap/>
        <w:overflowPunct/>
        <w:topLinePunct w:val="0"/>
        <w:autoSpaceDE/>
        <w:autoSpaceDN/>
        <w:bidi w:val="0"/>
        <w:spacing w:line="560" w:lineRule="exact"/>
        <w:ind w:firstLine="640" w:firstLineChars="200"/>
        <w:textAlignment w:val="auto"/>
        <w:rPr>
          <w:rFonts w:hint="eastAsia" w:ascii="方正楷体_GB2312" w:hAnsi="方正楷体_GB2312" w:eastAsia="方正楷体_GB2312" w:cs="方正楷体_GB2312"/>
          <w:sz w:val="32"/>
          <w:szCs w:val="32"/>
          <w:highlight w:val="none"/>
        </w:rPr>
      </w:pPr>
      <w:r>
        <w:rPr>
          <w:rFonts w:hint="eastAsia" w:ascii="方正楷体_GB2312" w:hAnsi="方正楷体_GB2312" w:eastAsia="方正楷体_GB2312" w:cs="方正楷体_GB2312"/>
          <w:sz w:val="32"/>
          <w:szCs w:val="32"/>
          <w:highlight w:val="none"/>
        </w:rPr>
        <w:t>（</w:t>
      </w:r>
      <w:r>
        <w:rPr>
          <w:rFonts w:hint="eastAsia" w:ascii="方正楷体_GB2312" w:hAnsi="方正楷体_GB2312" w:eastAsia="方正楷体_GB2312" w:cs="方正楷体_GB2312"/>
          <w:sz w:val="32"/>
          <w:szCs w:val="32"/>
          <w:highlight w:val="none"/>
          <w:lang w:val="en-US" w:eastAsia="zh-CN"/>
        </w:rPr>
        <w:t>三</w:t>
      </w:r>
      <w:r>
        <w:rPr>
          <w:rFonts w:hint="eastAsia" w:ascii="方正楷体_GB2312" w:hAnsi="方正楷体_GB2312" w:eastAsia="方正楷体_GB2312" w:cs="方正楷体_GB2312"/>
          <w:sz w:val="32"/>
          <w:szCs w:val="32"/>
          <w:highlight w:val="none"/>
        </w:rPr>
        <w:t>）转系列条件</w:t>
      </w:r>
    </w:p>
    <w:p>
      <w:pPr>
        <w:pageBreakBefore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专业技术人员因工作岗位变动需要转评高校教师系列职称,按照“先转后评”原则，须在新工作岗位工作满1年以上，可申报转评新系列同等级的职称，其业绩成果以在新岗位工作的业绩成果为主。转系列满1年后，符合相应职称条件的，可申报新系列高一级职称。转系列人员参加晋升的，过去的资历连续计算，相关的业绩成果予以认可。</w:t>
      </w:r>
    </w:p>
    <w:p>
      <w:pPr>
        <w:pageBreakBefore w:val="0"/>
        <w:kinsoku/>
        <w:wordWrap/>
        <w:overflowPunct/>
        <w:topLinePunct w:val="0"/>
        <w:autoSpaceDE/>
        <w:autoSpaceDN/>
        <w:bidi w:val="0"/>
        <w:spacing w:line="560" w:lineRule="exact"/>
        <w:ind w:firstLine="640" w:firstLineChars="200"/>
        <w:textAlignment w:val="auto"/>
        <w:rPr>
          <w:rFonts w:hint="eastAsia" w:ascii="方正楷体_GB2312" w:hAnsi="方正楷体_GB2312" w:eastAsia="方正楷体_GB2312" w:cs="方正楷体_GB2312"/>
          <w:sz w:val="32"/>
          <w:szCs w:val="32"/>
          <w:highlight w:val="none"/>
          <w:lang w:eastAsia="zh-CN"/>
        </w:rPr>
      </w:pPr>
      <w:r>
        <w:rPr>
          <w:rFonts w:hint="eastAsia" w:ascii="方正楷体_GB2312" w:hAnsi="方正楷体_GB2312" w:eastAsia="方正楷体_GB2312" w:cs="方正楷体_GB2312"/>
          <w:sz w:val="32"/>
          <w:szCs w:val="32"/>
          <w:highlight w:val="none"/>
        </w:rPr>
        <w:t>（</w:t>
      </w:r>
      <w:r>
        <w:rPr>
          <w:rFonts w:hint="eastAsia" w:ascii="方正楷体_GB2312" w:hAnsi="方正楷体_GB2312" w:eastAsia="方正楷体_GB2312" w:cs="方正楷体_GB2312"/>
          <w:sz w:val="32"/>
          <w:szCs w:val="32"/>
          <w:highlight w:val="none"/>
          <w:lang w:val="en-US" w:eastAsia="zh-CN"/>
        </w:rPr>
        <w:t>四</w:t>
      </w:r>
      <w:r>
        <w:rPr>
          <w:rFonts w:hint="eastAsia" w:ascii="方正楷体_GB2312" w:hAnsi="方正楷体_GB2312" w:eastAsia="方正楷体_GB2312" w:cs="方正楷体_GB2312"/>
          <w:sz w:val="32"/>
          <w:szCs w:val="32"/>
          <w:highlight w:val="none"/>
        </w:rPr>
        <w:t>）调入人员条件</w:t>
      </w:r>
    </w:p>
    <w:p>
      <w:pPr>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由党政机关调入高校从事教学、科研工作的人员，</w:t>
      </w:r>
      <w:r>
        <w:rPr>
          <w:rFonts w:hint="eastAsia" w:ascii="仿宋_GB2312" w:hAnsi="仿宋_GB2312" w:eastAsia="仿宋_GB2312" w:cs="仿宋_GB2312"/>
          <w:sz w:val="32"/>
          <w:szCs w:val="32"/>
          <w:highlight w:val="none"/>
          <w:lang w:val="en-US" w:eastAsia="zh-CN"/>
        </w:rPr>
        <w:t>5年之内</w:t>
      </w:r>
      <w:r>
        <w:rPr>
          <w:rFonts w:hint="eastAsia" w:ascii="仿宋_GB2312" w:hAnsi="仿宋_GB2312" w:eastAsia="仿宋_GB2312" w:cs="仿宋_GB2312"/>
          <w:sz w:val="32"/>
          <w:szCs w:val="32"/>
          <w:highlight w:val="none"/>
        </w:rPr>
        <w:t>第一次申报专业技术资格，可不受专业技术任职资格的限制，根据本人的学历和业绩成果等条件，比照同类人员申报相应</w:t>
      </w:r>
      <w:r>
        <w:rPr>
          <w:rFonts w:hint="eastAsia" w:ascii="仿宋_GB2312" w:hAnsi="仿宋_GB2312" w:eastAsia="仿宋_GB2312" w:cs="仿宋_GB2312"/>
          <w:sz w:val="32"/>
          <w:szCs w:val="32"/>
          <w:highlight w:val="none"/>
          <w:lang w:eastAsia="zh-Hans"/>
        </w:rPr>
        <w:t>职称</w:t>
      </w:r>
      <w:r>
        <w:rPr>
          <w:rFonts w:hint="eastAsia" w:ascii="仿宋_GB2312" w:hAnsi="仿宋_GB2312" w:eastAsia="仿宋_GB2312" w:cs="仿宋_GB2312"/>
          <w:sz w:val="32"/>
          <w:szCs w:val="32"/>
          <w:highlight w:val="none"/>
        </w:rPr>
        <w:t>。</w:t>
      </w:r>
    </w:p>
    <w:p>
      <w:pPr>
        <w:pageBreakBefore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highlight w:val="none"/>
        </w:rPr>
      </w:pPr>
      <w:r>
        <w:rPr>
          <w:rFonts w:hint="eastAsia" w:ascii="黑体" w:hAnsi="黑体" w:eastAsia="黑体" w:cs="黑体"/>
          <w:sz w:val="32"/>
          <w:szCs w:val="32"/>
          <w:highlight w:val="none"/>
          <w:lang w:val="en-US" w:eastAsia="zh-CN"/>
        </w:rPr>
        <w:t>六</w:t>
      </w:r>
      <w:r>
        <w:rPr>
          <w:rFonts w:hint="eastAsia" w:ascii="黑体" w:hAnsi="黑体" w:eastAsia="黑体" w:cs="黑体"/>
          <w:sz w:val="32"/>
          <w:szCs w:val="32"/>
          <w:highlight w:val="none"/>
        </w:rPr>
        <w:t>、组织机构</w:t>
      </w:r>
    </w:p>
    <w:p>
      <w:pPr>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（一）</w:t>
      </w:r>
      <w:r>
        <w:rPr>
          <w:rFonts w:hint="eastAsia" w:ascii="仿宋_GB2312" w:hAnsi="仿宋_GB2312" w:eastAsia="仿宋_GB2312" w:cs="仿宋_GB2312"/>
          <w:sz w:val="32"/>
          <w:szCs w:val="32"/>
          <w:highlight w:val="none"/>
          <w:lang w:val="en-US" w:eastAsia="zh-CN"/>
        </w:rPr>
        <w:t>学校成立</w:t>
      </w:r>
      <w:r>
        <w:rPr>
          <w:rFonts w:hint="eastAsia" w:ascii="仿宋_GB2312" w:hAnsi="仿宋_GB2312" w:eastAsia="仿宋_GB2312" w:cs="仿宋_GB2312"/>
          <w:sz w:val="32"/>
          <w:szCs w:val="32"/>
          <w:highlight w:val="none"/>
          <w:lang w:eastAsia="zh-Hans"/>
        </w:rPr>
        <w:t>职称</w:t>
      </w:r>
      <w:r>
        <w:rPr>
          <w:rFonts w:hint="eastAsia" w:ascii="仿宋_GB2312" w:hAnsi="仿宋_GB2312" w:eastAsia="仿宋_GB2312" w:cs="仿宋_GB2312"/>
          <w:sz w:val="32"/>
          <w:szCs w:val="32"/>
          <w:highlight w:val="none"/>
          <w:lang w:val="en-US" w:eastAsia="zh-CN"/>
        </w:rPr>
        <w:t>评审</w:t>
      </w:r>
      <w:r>
        <w:rPr>
          <w:rFonts w:hint="eastAsia" w:ascii="仿宋_GB2312" w:hAnsi="仿宋_GB2312" w:eastAsia="仿宋_GB2312" w:cs="仿宋_GB2312"/>
          <w:sz w:val="32"/>
          <w:szCs w:val="32"/>
          <w:highlight w:val="none"/>
        </w:rPr>
        <w:t>领导小组</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kern w:val="0"/>
          <w:sz w:val="32"/>
          <w:szCs w:val="32"/>
          <w:highlight w:val="none"/>
          <w:lang w:val="en-US" w:eastAsia="zh-CN"/>
        </w:rPr>
        <w:t>院长任组长，</w:t>
      </w:r>
      <w:r>
        <w:rPr>
          <w:rFonts w:hint="eastAsia" w:ascii="仿宋_GB2312" w:hAnsi="仿宋_GB2312" w:eastAsia="仿宋_GB2312" w:cs="仿宋_GB2312"/>
          <w:kern w:val="0"/>
          <w:sz w:val="32"/>
          <w:szCs w:val="32"/>
          <w:highlight w:val="none"/>
        </w:rPr>
        <w:t>全面领导全校职称评审工作。</w:t>
      </w:r>
      <w:r>
        <w:rPr>
          <w:rFonts w:hint="eastAsia" w:ascii="仿宋_GB2312" w:hAnsi="仿宋_GB2312" w:eastAsia="仿宋_GB2312" w:cs="仿宋_GB2312"/>
          <w:sz w:val="32"/>
          <w:szCs w:val="32"/>
          <w:highlight w:val="none"/>
        </w:rPr>
        <w:t>职称</w:t>
      </w:r>
      <w:r>
        <w:rPr>
          <w:rFonts w:hint="eastAsia" w:ascii="仿宋_GB2312" w:hAnsi="仿宋_GB2312" w:eastAsia="仿宋_GB2312" w:cs="仿宋_GB2312"/>
          <w:sz w:val="32"/>
          <w:szCs w:val="32"/>
          <w:highlight w:val="none"/>
          <w:lang w:val="en-US" w:eastAsia="zh-CN"/>
        </w:rPr>
        <w:t>评审</w:t>
      </w:r>
      <w:r>
        <w:rPr>
          <w:rFonts w:hint="eastAsia" w:ascii="仿宋_GB2312" w:hAnsi="仿宋_GB2312" w:eastAsia="仿宋_GB2312" w:cs="仿宋_GB2312"/>
          <w:sz w:val="32"/>
          <w:szCs w:val="32"/>
          <w:highlight w:val="none"/>
        </w:rPr>
        <w:t>领导小组具体负责审核</w:t>
      </w:r>
      <w:r>
        <w:rPr>
          <w:rFonts w:hint="eastAsia" w:ascii="仿宋_GB2312" w:hAnsi="仿宋_GB2312" w:eastAsia="仿宋_GB2312" w:cs="仿宋_GB2312"/>
          <w:sz w:val="32"/>
          <w:szCs w:val="32"/>
          <w:highlight w:val="none"/>
          <w:lang w:val="en-US" w:eastAsia="zh-CN"/>
        </w:rPr>
        <w:t>各评审推荐小组</w:t>
      </w:r>
      <w:r>
        <w:rPr>
          <w:rFonts w:hint="eastAsia" w:ascii="仿宋_GB2312" w:hAnsi="仿宋_GB2312" w:eastAsia="仿宋_GB2312" w:cs="仿宋_GB2312"/>
          <w:sz w:val="32"/>
          <w:szCs w:val="32"/>
          <w:highlight w:val="none"/>
        </w:rPr>
        <w:t>、学校职称评审专家评委会的各项工作，确定学校的评审职数和各二级学院推荐职数，研究解决职称评审工作中出现的重大问题</w:t>
      </w:r>
      <w:r>
        <w:rPr>
          <w:rFonts w:hint="eastAsia" w:ascii="仿宋_GB2312" w:hAnsi="仿宋_GB2312" w:eastAsia="仿宋_GB2312" w:cs="仿宋_GB2312"/>
          <w:sz w:val="32"/>
          <w:szCs w:val="32"/>
          <w:highlight w:val="none"/>
          <w:lang w:eastAsia="zh-CN"/>
        </w:rPr>
        <w:t>。</w:t>
      </w:r>
    </w:p>
    <w:p>
      <w:pPr>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职称</w:t>
      </w:r>
      <w:r>
        <w:rPr>
          <w:rFonts w:hint="eastAsia" w:ascii="仿宋_GB2312" w:hAnsi="仿宋_GB2312" w:eastAsia="仿宋_GB2312" w:cs="仿宋_GB2312"/>
          <w:sz w:val="32"/>
          <w:szCs w:val="32"/>
          <w:highlight w:val="none"/>
          <w:lang w:val="en-US" w:eastAsia="zh-CN"/>
        </w:rPr>
        <w:t>评审</w:t>
      </w:r>
      <w:r>
        <w:rPr>
          <w:rFonts w:hint="eastAsia" w:ascii="仿宋_GB2312" w:hAnsi="仿宋_GB2312" w:eastAsia="仿宋_GB2312" w:cs="仿宋_GB2312"/>
          <w:sz w:val="32"/>
          <w:szCs w:val="32"/>
          <w:highlight w:val="none"/>
        </w:rPr>
        <w:t>领导小组</w:t>
      </w:r>
      <w:r>
        <w:rPr>
          <w:rFonts w:hint="eastAsia" w:ascii="仿宋_GB2312" w:hAnsi="仿宋_GB2312" w:eastAsia="仿宋_GB2312" w:cs="仿宋_GB2312"/>
          <w:kern w:val="0"/>
          <w:sz w:val="32"/>
          <w:szCs w:val="32"/>
          <w:highlight w:val="none"/>
        </w:rPr>
        <w:t>下设办公室</w:t>
      </w:r>
      <w:r>
        <w:rPr>
          <w:rFonts w:hint="eastAsia" w:ascii="仿宋_GB2312" w:hAnsi="仿宋_GB2312" w:eastAsia="仿宋_GB2312" w:cs="仿宋_GB2312"/>
          <w:kern w:val="0"/>
          <w:sz w:val="32"/>
          <w:szCs w:val="32"/>
          <w:highlight w:val="none"/>
          <w:lang w:eastAsia="zh-CN"/>
        </w:rPr>
        <w:t>（</w:t>
      </w:r>
      <w:r>
        <w:rPr>
          <w:rFonts w:hint="eastAsia" w:ascii="仿宋_GB2312" w:hAnsi="仿宋_GB2312" w:eastAsia="仿宋_GB2312" w:cs="仿宋_GB2312"/>
          <w:kern w:val="0"/>
          <w:sz w:val="32"/>
          <w:szCs w:val="32"/>
          <w:highlight w:val="none"/>
          <w:lang w:val="en-US" w:eastAsia="zh-CN"/>
        </w:rPr>
        <w:t>简称“职称办”</w:t>
      </w:r>
      <w:r>
        <w:rPr>
          <w:rFonts w:hint="eastAsia" w:ascii="仿宋_GB2312" w:hAnsi="仿宋_GB2312" w:eastAsia="仿宋_GB2312" w:cs="仿宋_GB2312"/>
          <w:kern w:val="0"/>
          <w:sz w:val="32"/>
          <w:szCs w:val="32"/>
          <w:highlight w:val="none"/>
          <w:lang w:eastAsia="zh-CN"/>
        </w:rPr>
        <w:t>），</w:t>
      </w:r>
      <w:r>
        <w:rPr>
          <w:rFonts w:hint="eastAsia" w:ascii="仿宋_GB2312" w:hAnsi="仿宋_GB2312" w:eastAsia="仿宋_GB2312" w:cs="仿宋_GB2312"/>
          <w:kern w:val="0"/>
          <w:sz w:val="32"/>
          <w:szCs w:val="32"/>
          <w:highlight w:val="none"/>
          <w:lang w:val="en-US" w:eastAsia="zh-CN"/>
        </w:rPr>
        <w:t>设在人事处（教师工作部），办公室主任由人事处（教师工作部）负责人兼任，</w:t>
      </w:r>
      <w:r>
        <w:rPr>
          <w:rFonts w:hint="eastAsia" w:ascii="仿宋_GB2312" w:hAnsi="仿宋_GB2312" w:eastAsia="仿宋_GB2312" w:cs="仿宋_GB2312"/>
          <w:kern w:val="0"/>
          <w:sz w:val="32"/>
          <w:szCs w:val="32"/>
          <w:highlight w:val="none"/>
        </w:rPr>
        <w:t>具体负责职称评审工作的组织实施。</w:t>
      </w:r>
    </w:p>
    <w:p>
      <w:pPr>
        <w:pageBreakBefore w:val="0"/>
        <w:numPr>
          <w:ilvl w:val="0"/>
          <w:numId w:val="1"/>
        </w:numPr>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学校成立</w:t>
      </w:r>
      <w:r>
        <w:rPr>
          <w:rFonts w:hint="eastAsia" w:ascii="仿宋_GB2312" w:hAnsi="仿宋_GB2312" w:eastAsia="仿宋_GB2312" w:cs="仿宋_GB2312"/>
          <w:sz w:val="32"/>
          <w:szCs w:val="32"/>
          <w:highlight w:val="none"/>
          <w:lang w:eastAsia="zh-Hans"/>
        </w:rPr>
        <w:t>职称</w:t>
      </w:r>
      <w:r>
        <w:rPr>
          <w:rFonts w:hint="eastAsia" w:ascii="仿宋_GB2312" w:hAnsi="仿宋_GB2312" w:eastAsia="仿宋_GB2312" w:cs="仿宋_GB2312"/>
          <w:sz w:val="32"/>
          <w:szCs w:val="32"/>
          <w:highlight w:val="none"/>
        </w:rPr>
        <w:t>评审</w:t>
      </w:r>
      <w:r>
        <w:rPr>
          <w:rFonts w:hint="eastAsia" w:ascii="仿宋_GB2312" w:hAnsi="仿宋_GB2312" w:eastAsia="仿宋_GB2312" w:cs="仿宋_GB2312"/>
          <w:sz w:val="32"/>
          <w:szCs w:val="32"/>
          <w:highlight w:val="none"/>
          <w:lang w:val="en-US" w:eastAsia="zh-CN"/>
        </w:rPr>
        <w:t>专家</w:t>
      </w:r>
      <w:r>
        <w:rPr>
          <w:rFonts w:hint="eastAsia" w:ascii="仿宋_GB2312" w:hAnsi="仿宋_GB2312" w:eastAsia="仿宋_GB2312" w:cs="仿宋_GB2312"/>
          <w:sz w:val="32"/>
          <w:szCs w:val="32"/>
          <w:highlight w:val="none"/>
        </w:rPr>
        <w:t>委员会，负责学校</w:t>
      </w:r>
      <w:r>
        <w:rPr>
          <w:rFonts w:hint="eastAsia" w:ascii="仿宋_GB2312" w:hAnsi="仿宋_GB2312" w:eastAsia="仿宋_GB2312" w:cs="仿宋_GB2312"/>
          <w:sz w:val="32"/>
          <w:szCs w:val="32"/>
          <w:highlight w:val="none"/>
          <w:lang w:eastAsia="zh-Hans"/>
        </w:rPr>
        <w:t>高级职称</w:t>
      </w:r>
      <w:r>
        <w:rPr>
          <w:rFonts w:hint="eastAsia" w:ascii="仿宋_GB2312" w:hAnsi="仿宋_GB2312" w:eastAsia="仿宋_GB2312" w:cs="仿宋_GB2312"/>
          <w:sz w:val="32"/>
          <w:szCs w:val="32"/>
          <w:highlight w:val="none"/>
        </w:rPr>
        <w:t>评审工作，对参评人员进行面试</w:t>
      </w:r>
      <w:r>
        <w:rPr>
          <w:rFonts w:hint="eastAsia" w:ascii="仿宋_GB2312" w:hAnsi="仿宋_GB2312" w:eastAsia="仿宋_GB2312" w:cs="仿宋_GB2312"/>
          <w:sz w:val="32"/>
          <w:szCs w:val="32"/>
          <w:highlight w:val="none"/>
          <w:lang w:eastAsia="zh-Hans"/>
        </w:rPr>
        <w:t>和</w:t>
      </w:r>
      <w:r>
        <w:rPr>
          <w:rFonts w:hint="eastAsia" w:ascii="仿宋_GB2312" w:hAnsi="仿宋_GB2312" w:eastAsia="仿宋_GB2312" w:cs="仿宋_GB2312"/>
          <w:sz w:val="32"/>
          <w:szCs w:val="32"/>
          <w:highlight w:val="none"/>
        </w:rPr>
        <w:t>答辩。</w:t>
      </w:r>
      <w:r>
        <w:rPr>
          <w:rFonts w:hint="eastAsia" w:ascii="仿宋_GB2312" w:hAnsi="仿宋_GB2312" w:eastAsia="仿宋_GB2312" w:cs="仿宋_GB2312"/>
          <w:sz w:val="32"/>
          <w:szCs w:val="32"/>
          <w:highlight w:val="none"/>
          <w:lang w:eastAsia="zh-Hans"/>
        </w:rPr>
        <w:t>学校</w:t>
      </w:r>
      <w:r>
        <w:rPr>
          <w:rFonts w:hint="eastAsia" w:ascii="仿宋_GB2312" w:hAnsi="仿宋_GB2312" w:eastAsia="仿宋_GB2312" w:cs="仿宋_GB2312"/>
          <w:sz w:val="32"/>
          <w:szCs w:val="32"/>
          <w:highlight w:val="none"/>
        </w:rPr>
        <w:t>评审</w:t>
      </w:r>
      <w:r>
        <w:rPr>
          <w:rFonts w:hint="eastAsia" w:ascii="仿宋_GB2312" w:hAnsi="仿宋_GB2312" w:eastAsia="仿宋_GB2312" w:cs="仿宋_GB2312"/>
          <w:sz w:val="32"/>
          <w:szCs w:val="32"/>
          <w:highlight w:val="none"/>
          <w:lang w:val="en-US" w:eastAsia="zh-CN"/>
        </w:rPr>
        <w:t>专家</w:t>
      </w:r>
      <w:r>
        <w:rPr>
          <w:rFonts w:hint="eastAsia" w:ascii="仿宋_GB2312" w:hAnsi="仿宋_GB2312" w:eastAsia="仿宋_GB2312" w:cs="仿宋_GB2312"/>
          <w:sz w:val="32"/>
          <w:szCs w:val="32"/>
          <w:highlight w:val="none"/>
        </w:rPr>
        <w:t>委员会设主任</w:t>
      </w:r>
      <w:r>
        <w:rPr>
          <w:rFonts w:hint="eastAsia" w:ascii="仿宋_GB2312" w:hAnsi="仿宋_GB2312" w:eastAsia="仿宋_GB2312" w:cs="仿宋_GB2312"/>
          <w:sz w:val="32"/>
          <w:szCs w:val="32"/>
          <w:highlight w:val="none"/>
          <w:lang w:eastAsia="zh-Hans"/>
        </w:rPr>
        <w:t>委员</w:t>
      </w: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sz w:val="32"/>
          <w:szCs w:val="32"/>
          <w:highlight w:val="none"/>
          <w:lang w:eastAsia="zh-Hans"/>
        </w:rPr>
        <w:t>名</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Hans"/>
        </w:rPr>
        <w:t>副主任委员1-2名，</w:t>
      </w:r>
      <w:r>
        <w:rPr>
          <w:rFonts w:hint="eastAsia" w:ascii="仿宋_GB2312" w:hAnsi="仿宋_GB2312" w:eastAsia="仿宋_GB2312" w:cs="仿宋_GB2312"/>
          <w:sz w:val="32"/>
          <w:szCs w:val="32"/>
          <w:highlight w:val="none"/>
        </w:rPr>
        <w:t>委员由校内、校外两部分专家组成，人数为单数，原则上实行轮换制度，</w:t>
      </w:r>
      <w:r>
        <w:rPr>
          <w:rFonts w:hint="eastAsia" w:ascii="仿宋_GB2312" w:hAnsi="仿宋_GB2312" w:eastAsia="仿宋_GB2312" w:cs="仿宋_GB2312"/>
          <w:sz w:val="32"/>
          <w:szCs w:val="32"/>
          <w:highlight w:val="none"/>
          <w:lang w:eastAsia="zh-Hans"/>
        </w:rPr>
        <w:t>同一专家不得连续三年担任评审委员</w:t>
      </w:r>
      <w:r>
        <w:rPr>
          <w:rFonts w:hint="eastAsia" w:ascii="仿宋_GB2312" w:hAnsi="仿宋_GB2312" w:eastAsia="仿宋_GB2312" w:cs="仿宋_GB2312"/>
          <w:sz w:val="32"/>
          <w:szCs w:val="32"/>
          <w:highlight w:val="none"/>
        </w:rPr>
        <w:t>。</w:t>
      </w:r>
    </w:p>
    <w:p>
      <w:pPr>
        <w:pageBreakBefore w:val="0"/>
        <w:numPr>
          <w:ilvl w:val="0"/>
          <w:numId w:val="0"/>
        </w:numPr>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（三）各</w:t>
      </w:r>
      <w:r>
        <w:rPr>
          <w:rFonts w:hint="eastAsia" w:ascii="仿宋_GB2312" w:hAnsi="仿宋_GB2312" w:eastAsia="仿宋_GB2312" w:cs="仿宋_GB2312"/>
          <w:sz w:val="32"/>
          <w:szCs w:val="32"/>
          <w:highlight w:val="none"/>
          <w:lang w:val="en-US" w:eastAsia="zh-CN"/>
        </w:rPr>
        <w:t>二级</w:t>
      </w:r>
      <w:r>
        <w:rPr>
          <w:rFonts w:hint="eastAsia" w:ascii="仿宋_GB2312" w:hAnsi="仿宋_GB2312" w:eastAsia="仿宋_GB2312" w:cs="仿宋_GB2312"/>
          <w:sz w:val="32"/>
          <w:szCs w:val="32"/>
          <w:highlight w:val="none"/>
        </w:rPr>
        <w:t>学院（部门）成立</w:t>
      </w:r>
      <w:r>
        <w:rPr>
          <w:rFonts w:hint="eastAsia" w:ascii="仿宋_GB2312" w:hAnsi="仿宋_GB2312" w:eastAsia="仿宋_GB2312" w:cs="仿宋_GB2312"/>
          <w:sz w:val="32"/>
          <w:szCs w:val="32"/>
          <w:highlight w:val="none"/>
          <w:lang w:val="en-US" w:eastAsia="zh-CN"/>
        </w:rPr>
        <w:t>评审推荐小组</w:t>
      </w:r>
      <w:r>
        <w:rPr>
          <w:rFonts w:hint="eastAsia" w:ascii="仿宋_GB2312" w:hAnsi="仿宋_GB2312" w:eastAsia="仿宋_GB2312" w:cs="仿宋_GB2312"/>
          <w:sz w:val="32"/>
          <w:szCs w:val="32"/>
          <w:highlight w:val="none"/>
        </w:rPr>
        <w:t>，负责本单位</w:t>
      </w:r>
      <w:r>
        <w:rPr>
          <w:rFonts w:hint="eastAsia" w:ascii="仿宋_GB2312" w:hAnsi="仿宋_GB2312" w:eastAsia="仿宋_GB2312" w:cs="仿宋_GB2312"/>
          <w:sz w:val="32"/>
          <w:szCs w:val="32"/>
          <w:highlight w:val="none"/>
          <w:lang w:eastAsia="zh-Hans"/>
        </w:rPr>
        <w:t>职称</w:t>
      </w:r>
      <w:r>
        <w:rPr>
          <w:rFonts w:hint="eastAsia" w:ascii="仿宋_GB2312" w:hAnsi="仿宋_GB2312" w:eastAsia="仿宋_GB2312" w:cs="仿宋_GB2312"/>
          <w:sz w:val="32"/>
          <w:szCs w:val="32"/>
          <w:highlight w:val="none"/>
        </w:rPr>
        <w:t>评审申报、</w:t>
      </w:r>
      <w:r>
        <w:rPr>
          <w:rFonts w:hint="eastAsia" w:ascii="仿宋_GB2312" w:hAnsi="仿宋_GB2312" w:eastAsia="仿宋_GB2312" w:cs="仿宋_GB2312"/>
          <w:sz w:val="32"/>
          <w:szCs w:val="32"/>
          <w:highlight w:val="none"/>
          <w:lang w:eastAsia="zh-Hans"/>
        </w:rPr>
        <w:t>审核和</w:t>
      </w:r>
      <w:r>
        <w:rPr>
          <w:rFonts w:hint="eastAsia" w:ascii="仿宋_GB2312" w:hAnsi="仿宋_GB2312" w:eastAsia="仿宋_GB2312" w:cs="仿宋_GB2312"/>
          <w:sz w:val="32"/>
          <w:szCs w:val="32"/>
          <w:highlight w:val="none"/>
        </w:rPr>
        <w:t>推荐等工作，</w:t>
      </w:r>
      <w:r>
        <w:rPr>
          <w:rFonts w:hint="eastAsia" w:ascii="仿宋_GB2312" w:hAnsi="仿宋_GB2312" w:eastAsia="仿宋_GB2312" w:cs="仿宋_GB2312"/>
          <w:sz w:val="32"/>
          <w:szCs w:val="32"/>
          <w:highlight w:val="none"/>
          <w:lang w:val="en-US" w:eastAsia="zh-CN"/>
        </w:rPr>
        <w:t>评审推荐小组</w:t>
      </w:r>
      <w:r>
        <w:rPr>
          <w:rFonts w:hint="eastAsia" w:ascii="仿宋_GB2312" w:hAnsi="仿宋_GB2312" w:eastAsia="仿宋_GB2312" w:cs="仿宋_GB2312"/>
          <w:sz w:val="32"/>
          <w:szCs w:val="32"/>
          <w:highlight w:val="none"/>
          <w:lang w:eastAsia="zh-Hans"/>
        </w:rPr>
        <w:t>设组长1名，</w:t>
      </w:r>
      <w:r>
        <w:rPr>
          <w:rFonts w:hint="eastAsia" w:ascii="仿宋_GB2312" w:hAnsi="仿宋_GB2312" w:eastAsia="仿宋_GB2312" w:cs="仿宋_GB2312"/>
          <w:sz w:val="32"/>
          <w:szCs w:val="32"/>
          <w:highlight w:val="none"/>
          <w:lang w:val="en-US" w:eastAsia="zh-CN"/>
        </w:rPr>
        <w:t>由二级学院（部门）负责人担任</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学生工作部（学生处）牵头组建学生思想政治教育研究系列职称评审推荐小组，由部门主要负责人、二级学院党总支负责人及长期从事思政教育的专家等组成，负责学生思想政治教育研究系列申报职称的资格审查、考核评议、推荐等工作。马克思主义学院牵头组建思政课教师评审推荐小组，负责思政课教师申报职称的资格审查、考核评议、推荐等工作。</w:t>
      </w:r>
    </w:p>
    <w:p>
      <w:pPr>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四</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各二级学院（部门）成立学科评议组（3-5人），负责本单位申报初、中、高级职称的学术水平、工作实绩和履职能力评议，成员原则上实行轮换制度，同一专家不得连续三年担任评议组成员。条件成熟后，各二级学院（部门）成立评审专家委员会。</w:t>
      </w:r>
    </w:p>
    <w:p>
      <w:pPr>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五</w:t>
      </w:r>
      <w:r>
        <w:rPr>
          <w:rFonts w:hint="eastAsia" w:ascii="仿宋_GB2312" w:hAnsi="仿宋_GB2312" w:eastAsia="仿宋_GB2312" w:cs="仿宋_GB2312"/>
          <w:sz w:val="32"/>
          <w:szCs w:val="32"/>
          <w:highlight w:val="none"/>
        </w:rPr>
        <w:t>）学校单独成立学生思想政治教育研究系列</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思想政治理论课教师的</w:t>
      </w:r>
      <w:r>
        <w:rPr>
          <w:rFonts w:hint="eastAsia" w:ascii="仿宋_GB2312" w:hAnsi="仿宋_GB2312" w:eastAsia="仿宋_GB2312" w:cs="仿宋_GB2312"/>
          <w:sz w:val="32"/>
          <w:szCs w:val="32"/>
          <w:highlight w:val="none"/>
          <w:lang w:eastAsia="zh-Hans"/>
        </w:rPr>
        <w:t>职称</w:t>
      </w:r>
      <w:r>
        <w:rPr>
          <w:rFonts w:hint="eastAsia" w:ascii="仿宋_GB2312" w:hAnsi="仿宋_GB2312" w:eastAsia="仿宋_GB2312" w:cs="仿宋_GB2312"/>
          <w:sz w:val="32"/>
          <w:szCs w:val="32"/>
          <w:highlight w:val="none"/>
        </w:rPr>
        <w:t>评审委员会，单列计划、单设标准、单独评审。</w:t>
      </w:r>
    </w:p>
    <w:p>
      <w:pPr>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六</w:t>
      </w:r>
      <w:r>
        <w:rPr>
          <w:rFonts w:hint="eastAsia" w:ascii="仿宋_GB2312" w:hAnsi="仿宋_GB2312" w:eastAsia="仿宋_GB2312" w:cs="仿宋_GB2312"/>
          <w:sz w:val="32"/>
          <w:szCs w:val="32"/>
          <w:highlight w:val="none"/>
        </w:rPr>
        <w:t>）学校单独成立中等职业学校</w:t>
      </w:r>
      <w:r>
        <w:rPr>
          <w:rFonts w:hint="eastAsia" w:ascii="仿宋_GB2312" w:hAnsi="仿宋_GB2312" w:eastAsia="仿宋_GB2312" w:cs="仿宋_GB2312"/>
          <w:sz w:val="32"/>
          <w:szCs w:val="32"/>
          <w:highlight w:val="none"/>
          <w:lang w:eastAsia="zh-Hans"/>
        </w:rPr>
        <w:t>职称</w:t>
      </w:r>
      <w:r>
        <w:rPr>
          <w:rFonts w:hint="eastAsia" w:ascii="仿宋_GB2312" w:hAnsi="仿宋_GB2312" w:eastAsia="仿宋_GB2312" w:cs="仿宋_GB2312"/>
          <w:sz w:val="32"/>
          <w:szCs w:val="32"/>
          <w:highlight w:val="none"/>
        </w:rPr>
        <w:t>评审委员会，负责附属中等艺术学校的职称评审工作。</w:t>
      </w:r>
    </w:p>
    <w:p>
      <w:pPr>
        <w:pageBreakBefore w:val="0"/>
        <w:kinsoku/>
        <w:wordWrap/>
        <w:overflowPunct/>
        <w:topLinePunct w:val="0"/>
        <w:autoSpaceDE/>
        <w:autoSpaceDN/>
        <w:bidi w:val="0"/>
        <w:spacing w:line="560" w:lineRule="exact"/>
        <w:ind w:firstLine="640" w:firstLineChars="200"/>
        <w:textAlignment w:val="auto"/>
        <w:rPr>
          <w:rFonts w:hint="eastAsia" w:ascii="黑体" w:hAnsi="黑体" w:eastAsia="黑体" w:cs="黑体"/>
          <w:sz w:val="32"/>
          <w:szCs w:val="32"/>
          <w:highlight w:val="none"/>
          <w:lang w:eastAsia="zh-CN"/>
        </w:rPr>
      </w:pPr>
      <w:r>
        <w:rPr>
          <w:rFonts w:hint="eastAsia" w:ascii="黑体" w:hAnsi="黑体" w:eastAsia="黑体" w:cs="黑体"/>
          <w:sz w:val="32"/>
          <w:szCs w:val="32"/>
          <w:highlight w:val="none"/>
          <w:lang w:val="en-US" w:eastAsia="zh-CN"/>
        </w:rPr>
        <w:t>七</w:t>
      </w:r>
      <w:r>
        <w:rPr>
          <w:rFonts w:hint="eastAsia" w:ascii="黑体" w:hAnsi="黑体" w:eastAsia="黑体" w:cs="黑体"/>
          <w:sz w:val="32"/>
          <w:szCs w:val="32"/>
          <w:highlight w:val="none"/>
        </w:rPr>
        <w:t>、业绩成果条件</w:t>
      </w:r>
    </w:p>
    <w:p>
      <w:pPr>
        <w:pageBreakBefore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（一）</w:t>
      </w:r>
      <w:r>
        <w:rPr>
          <w:rFonts w:hint="eastAsia" w:ascii="仿宋_GB2312" w:hAnsi="仿宋_GB2312" w:eastAsia="仿宋_GB2312" w:cs="仿宋_GB2312"/>
          <w:sz w:val="32"/>
          <w:szCs w:val="32"/>
          <w:highlight w:val="none"/>
          <w:lang w:val="en-US" w:eastAsia="zh-CN"/>
        </w:rPr>
        <w:t>高校教师</w:t>
      </w:r>
      <w:r>
        <w:rPr>
          <w:rFonts w:hint="eastAsia" w:ascii="仿宋_GB2312" w:hAnsi="仿宋_GB2312" w:eastAsia="仿宋_GB2312" w:cs="仿宋_GB2312"/>
          <w:sz w:val="32"/>
          <w:szCs w:val="32"/>
          <w:highlight w:val="none"/>
        </w:rPr>
        <w:t>系列</w:t>
      </w:r>
      <w:r>
        <w:rPr>
          <w:rFonts w:hint="eastAsia" w:ascii="仿宋_GB2312" w:hAnsi="仿宋_GB2312" w:eastAsia="仿宋_GB2312" w:cs="仿宋_GB2312"/>
          <w:sz w:val="32"/>
          <w:szCs w:val="32"/>
          <w:highlight w:val="none"/>
          <w:lang w:eastAsia="zh-Hans"/>
        </w:rPr>
        <w:t>职称</w:t>
      </w:r>
      <w:r>
        <w:rPr>
          <w:rFonts w:hint="eastAsia" w:ascii="仿宋_GB2312" w:hAnsi="仿宋_GB2312" w:eastAsia="仿宋_GB2312" w:cs="仿宋_GB2312"/>
          <w:sz w:val="32"/>
          <w:szCs w:val="32"/>
          <w:highlight w:val="none"/>
        </w:rPr>
        <w:t>评审业绩成果条件（见附件</w:t>
      </w: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rPr>
        <w:t>）</w:t>
      </w:r>
    </w:p>
    <w:p>
      <w:pPr>
        <w:pageBreakBefore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（二）学生思想政治教育</w:t>
      </w:r>
      <w:r>
        <w:rPr>
          <w:rFonts w:hint="eastAsia" w:ascii="仿宋_GB2312" w:hAnsi="仿宋_GB2312" w:eastAsia="仿宋_GB2312" w:cs="仿宋_GB2312"/>
          <w:sz w:val="32"/>
          <w:szCs w:val="32"/>
          <w:highlight w:val="none"/>
          <w:lang w:val="en-US" w:eastAsia="zh-CN"/>
        </w:rPr>
        <w:t>研究系列</w:t>
      </w:r>
      <w:r>
        <w:rPr>
          <w:rFonts w:hint="eastAsia" w:ascii="仿宋_GB2312" w:hAnsi="仿宋_GB2312" w:eastAsia="仿宋_GB2312" w:cs="仿宋_GB2312"/>
          <w:sz w:val="32"/>
          <w:szCs w:val="32"/>
          <w:highlight w:val="none"/>
          <w:lang w:eastAsia="zh-Hans"/>
        </w:rPr>
        <w:t>职称</w:t>
      </w:r>
      <w:r>
        <w:rPr>
          <w:rFonts w:hint="eastAsia" w:ascii="仿宋_GB2312" w:hAnsi="仿宋_GB2312" w:eastAsia="仿宋_GB2312" w:cs="仿宋_GB2312"/>
          <w:sz w:val="32"/>
          <w:szCs w:val="32"/>
          <w:highlight w:val="none"/>
        </w:rPr>
        <w:t>评审业绩成果条件（见附件</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w:t>
      </w:r>
    </w:p>
    <w:p>
      <w:pPr>
        <w:pageBreakBefore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（三）中等职业教师</w:t>
      </w:r>
      <w:r>
        <w:rPr>
          <w:rFonts w:hint="eastAsia" w:ascii="仿宋_GB2312" w:hAnsi="仿宋_GB2312" w:eastAsia="仿宋_GB2312" w:cs="仿宋_GB2312"/>
          <w:sz w:val="32"/>
          <w:szCs w:val="32"/>
          <w:highlight w:val="none"/>
          <w:lang w:eastAsia="zh-Hans"/>
        </w:rPr>
        <w:t>职称</w:t>
      </w:r>
      <w:r>
        <w:rPr>
          <w:rFonts w:hint="eastAsia" w:ascii="仿宋_GB2312" w:hAnsi="仿宋_GB2312" w:eastAsia="仿宋_GB2312" w:cs="仿宋_GB2312"/>
          <w:sz w:val="32"/>
          <w:szCs w:val="32"/>
          <w:highlight w:val="none"/>
        </w:rPr>
        <w:t>评审条件严格按照《内蒙古自治区中等职业学校教师职称评审条件》（内人社发〔2021〕32号）文件的相关规定执行。</w:t>
      </w:r>
    </w:p>
    <w:p>
      <w:pPr>
        <w:pageBreakBefore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highlight w:val="none"/>
        </w:rPr>
      </w:pPr>
      <w:r>
        <w:rPr>
          <w:rFonts w:hint="eastAsia" w:ascii="黑体" w:hAnsi="黑体" w:eastAsia="黑体" w:cs="黑体"/>
          <w:sz w:val="32"/>
          <w:szCs w:val="32"/>
          <w:highlight w:val="none"/>
          <w:lang w:val="en-US" w:eastAsia="zh-CN"/>
        </w:rPr>
        <w:t>八</w:t>
      </w:r>
      <w:r>
        <w:rPr>
          <w:rFonts w:hint="eastAsia" w:ascii="黑体" w:hAnsi="黑体" w:eastAsia="黑体" w:cs="黑体"/>
          <w:sz w:val="32"/>
          <w:szCs w:val="32"/>
          <w:highlight w:val="none"/>
        </w:rPr>
        <w:t>、成果认定</w:t>
      </w:r>
    </w:p>
    <w:p>
      <w:pPr>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一</w:t>
      </w:r>
      <w:r>
        <w:rPr>
          <w:rFonts w:hint="eastAsia" w:ascii="仿宋_GB2312" w:hAnsi="仿宋_GB2312" w:eastAsia="仿宋_GB2312" w:cs="仿宋_GB2312"/>
          <w:sz w:val="32"/>
          <w:szCs w:val="32"/>
          <w:highlight w:val="none"/>
        </w:rPr>
        <w:t>）我校教职工在攻读学位、进修、访学、培训、扶贫、挂职期间，在批准期限内可申报</w:t>
      </w:r>
      <w:r>
        <w:rPr>
          <w:rFonts w:hint="eastAsia" w:ascii="仿宋_GB2312" w:hAnsi="仿宋_GB2312" w:eastAsia="仿宋_GB2312" w:cs="仿宋_GB2312"/>
          <w:sz w:val="32"/>
          <w:szCs w:val="32"/>
          <w:highlight w:val="none"/>
          <w:lang w:eastAsia="zh-Hans"/>
        </w:rPr>
        <w:t>职称</w:t>
      </w:r>
      <w:r>
        <w:rPr>
          <w:rFonts w:hint="eastAsia" w:ascii="仿宋_GB2312" w:hAnsi="仿宋_GB2312" w:eastAsia="仿宋_GB2312" w:cs="仿宋_GB2312"/>
          <w:sz w:val="32"/>
          <w:szCs w:val="32"/>
          <w:highlight w:val="none"/>
        </w:rPr>
        <w:t>评审，期间的工作业绩经审定后，可作为评审依据。</w:t>
      </w:r>
    </w:p>
    <w:p>
      <w:pPr>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二</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在职攻读博士学位期间，发表的注明本单位的业绩成果，作为申报高级专业技术资格，相关的业绩成果予以认可</w:t>
      </w:r>
      <w:r>
        <w:rPr>
          <w:rFonts w:hint="eastAsia" w:ascii="仿宋_GB2312" w:hAnsi="仿宋_GB2312" w:eastAsia="仿宋_GB2312" w:cs="仿宋_GB2312"/>
          <w:sz w:val="32"/>
          <w:szCs w:val="32"/>
          <w:highlight w:val="none"/>
          <w:lang w:eastAsia="zh-CN"/>
        </w:rPr>
        <w:t>。</w:t>
      </w:r>
    </w:p>
    <w:p>
      <w:pPr>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三</w:t>
      </w:r>
      <w:r>
        <w:rPr>
          <w:rFonts w:hint="eastAsia" w:ascii="仿宋_GB2312" w:hAnsi="仿宋_GB2312" w:eastAsia="仿宋_GB2312" w:cs="仿宋_GB2312"/>
          <w:sz w:val="32"/>
          <w:szCs w:val="32"/>
          <w:highlight w:val="none"/>
        </w:rPr>
        <w:t>）申报人所提供的成果应与所从事学科、申报学科方向一致</w:t>
      </w:r>
      <w:r>
        <w:rPr>
          <w:rFonts w:hint="eastAsia" w:ascii="仿宋_GB2312" w:hAnsi="仿宋_GB2312" w:eastAsia="仿宋_GB2312" w:cs="仿宋_GB2312"/>
          <w:sz w:val="32"/>
          <w:szCs w:val="32"/>
          <w:highlight w:val="none"/>
          <w:lang w:eastAsia="zh-CN"/>
        </w:rPr>
        <w:t>。</w:t>
      </w:r>
    </w:p>
    <w:p>
      <w:pPr>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四</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申报人的</w:t>
      </w:r>
      <w:r>
        <w:rPr>
          <w:rFonts w:hint="eastAsia" w:ascii="仿宋_GB2312" w:hAnsi="仿宋_GB2312" w:eastAsia="仿宋_GB2312" w:cs="仿宋_GB2312"/>
          <w:sz w:val="32"/>
          <w:szCs w:val="32"/>
          <w:highlight w:val="none"/>
        </w:rPr>
        <w:t>同一成果</w:t>
      </w:r>
      <w:r>
        <w:rPr>
          <w:rFonts w:hint="eastAsia" w:ascii="仿宋_GB2312" w:hAnsi="仿宋_GB2312" w:eastAsia="仿宋_GB2312" w:cs="仿宋_GB2312"/>
          <w:sz w:val="32"/>
          <w:szCs w:val="32"/>
          <w:highlight w:val="none"/>
          <w:lang w:val="en-US" w:eastAsia="zh-CN"/>
        </w:rPr>
        <w:t>参加专业成果赋分时只能填到三个类别（教学成果、科研成果、艺创成果）中的一类，不得重复填报，按照分数最高项</w:t>
      </w:r>
      <w:r>
        <w:rPr>
          <w:rFonts w:hint="eastAsia" w:ascii="仿宋_GB2312" w:hAnsi="仿宋_GB2312" w:eastAsia="仿宋_GB2312" w:cs="仿宋_GB2312"/>
          <w:sz w:val="32"/>
          <w:szCs w:val="32"/>
          <w:highlight w:val="none"/>
        </w:rPr>
        <w:t>赋分一次，不重复计分。</w:t>
      </w:r>
    </w:p>
    <w:p>
      <w:pPr>
        <w:pageBreakBefore w:val="0"/>
        <w:kinsoku/>
        <w:wordWrap/>
        <w:overflowPunct/>
        <w:topLinePunct w:val="0"/>
        <w:autoSpaceDE/>
        <w:autoSpaceDN/>
        <w:bidi w:val="0"/>
        <w:spacing w:line="560" w:lineRule="exact"/>
        <w:ind w:firstLine="640" w:firstLineChars="20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五</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申报人的业绩成果取得时间在受聘现职称之后的，予以认定，可用于评审高一级职称。业绩成果取得时间在受聘现职称之前的，不能用于评审高一级职称。</w:t>
      </w:r>
    </w:p>
    <w:p>
      <w:pPr>
        <w:pageBreakBefore w:val="0"/>
        <w:kinsoku/>
        <w:wordWrap/>
        <w:overflowPunct/>
        <w:topLinePunct w:val="0"/>
        <w:autoSpaceDE/>
        <w:autoSpaceDN/>
        <w:bidi w:val="0"/>
        <w:spacing w:line="560" w:lineRule="exact"/>
        <w:ind w:firstLine="640" w:firstLineChars="200"/>
        <w:textAlignment w:val="auto"/>
        <w:rPr>
          <w:rFonts w:hint="eastAsia" w:ascii="黑体" w:hAnsi="黑体" w:eastAsia="黑体" w:cs="黑体"/>
          <w:sz w:val="32"/>
          <w:szCs w:val="32"/>
          <w:highlight w:val="none"/>
          <w:lang w:eastAsia="zh-CN"/>
        </w:rPr>
      </w:pPr>
      <w:r>
        <w:rPr>
          <w:rFonts w:hint="eastAsia" w:ascii="黑体" w:hAnsi="黑体" w:eastAsia="黑体" w:cs="黑体"/>
          <w:sz w:val="32"/>
          <w:szCs w:val="32"/>
          <w:highlight w:val="none"/>
          <w:lang w:val="en-US" w:eastAsia="zh-CN"/>
        </w:rPr>
        <w:t>九</w:t>
      </w:r>
      <w:r>
        <w:rPr>
          <w:rFonts w:hint="eastAsia" w:ascii="黑体" w:hAnsi="黑体" w:eastAsia="黑体" w:cs="黑体"/>
          <w:sz w:val="32"/>
          <w:szCs w:val="32"/>
          <w:highlight w:val="none"/>
        </w:rPr>
        <w:t>、评审程序</w:t>
      </w:r>
    </w:p>
    <w:p>
      <w:pPr>
        <w:pageBreakBefore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highlight w:val="none"/>
        </w:rPr>
      </w:pPr>
      <w:r>
        <w:rPr>
          <w:rFonts w:hint="eastAsia" w:ascii="楷体_GB2312" w:hAnsi="楷体_GB2312" w:eastAsia="楷体_GB2312" w:cs="楷体_GB2312"/>
          <w:sz w:val="32"/>
          <w:szCs w:val="32"/>
          <w:highlight w:val="none"/>
        </w:rPr>
        <w:t>（一）各二级学院（部门）成立评审推荐小组。</w:t>
      </w:r>
      <w:r>
        <w:rPr>
          <w:rFonts w:hint="eastAsia" w:ascii="仿宋_GB2312" w:hAnsi="仿宋_GB2312" w:eastAsia="仿宋_GB2312" w:cs="仿宋_GB2312"/>
          <w:sz w:val="32"/>
          <w:szCs w:val="32"/>
          <w:highlight w:val="none"/>
          <w:lang w:val="en-US" w:eastAsia="zh-CN"/>
        </w:rPr>
        <w:t>各评审推荐小组</w:t>
      </w:r>
      <w:r>
        <w:rPr>
          <w:rFonts w:hint="eastAsia" w:ascii="仿宋_GB2312" w:hAnsi="仿宋_GB2312" w:eastAsia="仿宋_GB2312" w:cs="仿宋_GB2312"/>
          <w:sz w:val="32"/>
          <w:szCs w:val="32"/>
          <w:highlight w:val="none"/>
        </w:rPr>
        <w:t>全面负责本单位的推荐、</w:t>
      </w:r>
      <w:r>
        <w:rPr>
          <w:rFonts w:hint="eastAsia" w:ascii="仿宋_GB2312" w:hAnsi="仿宋_GB2312" w:eastAsia="仿宋_GB2312" w:cs="仿宋_GB2312"/>
          <w:sz w:val="32"/>
          <w:szCs w:val="32"/>
          <w:highlight w:val="none"/>
          <w:lang w:val="en-US" w:eastAsia="zh-CN"/>
        </w:rPr>
        <w:t>审核、</w:t>
      </w:r>
      <w:r>
        <w:rPr>
          <w:rFonts w:hint="eastAsia" w:ascii="仿宋_GB2312" w:hAnsi="仿宋_GB2312" w:eastAsia="仿宋_GB2312" w:cs="仿宋_GB2312"/>
          <w:sz w:val="32"/>
          <w:szCs w:val="32"/>
          <w:highlight w:val="none"/>
        </w:rPr>
        <w:t>评审工作。</w:t>
      </w:r>
      <w:r>
        <w:rPr>
          <w:rFonts w:hint="eastAsia" w:ascii="仿宋_GB2312" w:hAnsi="仿宋_GB2312" w:eastAsia="仿宋_GB2312" w:cs="仿宋_GB2312"/>
          <w:sz w:val="32"/>
          <w:szCs w:val="32"/>
          <w:highlight w:val="none"/>
          <w:lang w:val="en-US" w:eastAsia="zh-CN"/>
        </w:rPr>
        <w:t>各评审推荐小组牵头</w:t>
      </w:r>
      <w:r>
        <w:rPr>
          <w:rFonts w:hint="eastAsia" w:ascii="仿宋_GB2312" w:hAnsi="仿宋_GB2312" w:eastAsia="仿宋_GB2312" w:cs="仿宋_GB2312"/>
          <w:sz w:val="32"/>
          <w:szCs w:val="32"/>
          <w:highlight w:val="none"/>
        </w:rPr>
        <w:t>成立</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监督组</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党务负责人为组长，负责监督</w:t>
      </w:r>
      <w:r>
        <w:rPr>
          <w:rFonts w:hint="eastAsia" w:ascii="仿宋_GB2312" w:hAnsi="仿宋_GB2312" w:eastAsia="仿宋_GB2312" w:cs="仿宋_GB2312"/>
          <w:sz w:val="32"/>
          <w:szCs w:val="32"/>
          <w:highlight w:val="none"/>
          <w:lang w:val="en-US" w:eastAsia="zh-CN"/>
        </w:rPr>
        <w:t>评审工作</w:t>
      </w:r>
      <w:r>
        <w:rPr>
          <w:rFonts w:hint="eastAsia" w:ascii="仿宋_GB2312" w:hAnsi="仿宋_GB2312" w:eastAsia="仿宋_GB2312" w:cs="仿宋_GB2312"/>
          <w:sz w:val="32"/>
          <w:szCs w:val="32"/>
          <w:highlight w:val="none"/>
        </w:rPr>
        <w:t>和受理申报人的申诉工作</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材料审核组</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负责对本单位申报人员的申报材料进行审核</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经党政联席会议确定</w:t>
      </w:r>
      <w:r>
        <w:rPr>
          <w:rFonts w:hint="eastAsia" w:ascii="仿宋_GB2312" w:hAnsi="仿宋_GB2312" w:eastAsia="仿宋_GB2312" w:cs="仿宋_GB2312"/>
          <w:sz w:val="32"/>
          <w:szCs w:val="32"/>
          <w:highlight w:val="none"/>
          <w:lang w:val="en-US" w:eastAsia="zh-CN"/>
        </w:rPr>
        <w:t>小组</w:t>
      </w:r>
      <w:r>
        <w:rPr>
          <w:rFonts w:hint="eastAsia" w:ascii="仿宋_GB2312" w:hAnsi="仿宋_GB2312" w:eastAsia="仿宋_GB2312" w:cs="仿宋_GB2312"/>
          <w:sz w:val="32"/>
          <w:szCs w:val="32"/>
          <w:highlight w:val="none"/>
        </w:rPr>
        <w:t>名单</w:t>
      </w:r>
      <w:r>
        <w:rPr>
          <w:rFonts w:hint="eastAsia" w:ascii="仿宋_GB2312" w:hAnsi="仿宋_GB2312" w:eastAsia="仿宋_GB2312" w:cs="仿宋_GB2312"/>
          <w:sz w:val="32"/>
          <w:szCs w:val="32"/>
          <w:highlight w:val="none"/>
          <w:lang w:val="en-US" w:eastAsia="zh-CN"/>
        </w:rPr>
        <w:t>后</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将名单上报至学校职改办</w:t>
      </w:r>
      <w:r>
        <w:rPr>
          <w:rFonts w:hint="eastAsia" w:ascii="仿宋_GB2312" w:hAnsi="仿宋_GB2312" w:eastAsia="仿宋_GB2312" w:cs="仿宋_GB2312"/>
          <w:sz w:val="32"/>
          <w:szCs w:val="32"/>
          <w:highlight w:val="none"/>
        </w:rPr>
        <w:t>。</w:t>
      </w:r>
    </w:p>
    <w:p>
      <w:pPr>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楷体_GB2312" w:hAnsi="楷体_GB2312" w:eastAsia="楷体_GB2312" w:cs="楷体_GB2312"/>
          <w:sz w:val="32"/>
          <w:szCs w:val="32"/>
          <w:highlight w:val="none"/>
        </w:rPr>
        <w:t>（二）个人申报。</w:t>
      </w:r>
      <w:r>
        <w:rPr>
          <w:rFonts w:hint="eastAsia" w:ascii="仿宋_GB2312" w:hAnsi="仿宋_GB2312" w:eastAsia="仿宋_GB2312" w:cs="仿宋_GB2312"/>
          <w:sz w:val="32"/>
          <w:szCs w:val="32"/>
          <w:highlight w:val="none"/>
          <w:lang w:val="en-US" w:eastAsia="zh-CN"/>
        </w:rPr>
        <w:t>申报人员</w:t>
      </w:r>
      <w:r>
        <w:rPr>
          <w:rFonts w:hint="eastAsia" w:ascii="仿宋_GB2312" w:hAnsi="仿宋_GB2312" w:eastAsia="仿宋_GB2312" w:cs="仿宋_GB2312"/>
          <w:sz w:val="32"/>
          <w:szCs w:val="32"/>
          <w:highlight w:val="none"/>
        </w:rPr>
        <w:t>在内蒙古人才信息库（www.nmgrck.cn）中注册</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填报个人基本信息</w:t>
      </w:r>
      <w:r>
        <w:rPr>
          <w:rFonts w:hint="eastAsia" w:ascii="仿宋_GB2312" w:hAnsi="仿宋_GB2312" w:eastAsia="仿宋_GB2312" w:cs="仿宋_GB2312"/>
          <w:sz w:val="32"/>
          <w:szCs w:val="32"/>
          <w:highlight w:val="none"/>
          <w:lang w:val="en-US" w:eastAsia="zh-CN"/>
        </w:rPr>
        <w:t>，下载并填写相应表格</w:t>
      </w:r>
      <w:r>
        <w:rPr>
          <w:rFonts w:hint="eastAsia" w:ascii="仿宋_GB2312" w:hAnsi="仿宋_GB2312" w:eastAsia="仿宋_GB2312" w:cs="仿宋_GB2312"/>
          <w:sz w:val="32"/>
          <w:szCs w:val="32"/>
          <w:highlight w:val="none"/>
        </w:rPr>
        <w:t>，完成</w:t>
      </w:r>
      <w:r>
        <w:rPr>
          <w:rFonts w:hint="eastAsia" w:ascii="仿宋_GB2312" w:hAnsi="仿宋_GB2312" w:eastAsia="仿宋_GB2312" w:cs="仿宋_GB2312"/>
          <w:sz w:val="32"/>
          <w:szCs w:val="32"/>
          <w:highlight w:val="none"/>
          <w:lang w:val="en-US" w:eastAsia="zh-CN"/>
        </w:rPr>
        <w:t>线上</w:t>
      </w:r>
      <w:r>
        <w:rPr>
          <w:rFonts w:hint="eastAsia" w:ascii="仿宋_GB2312" w:hAnsi="仿宋_GB2312" w:eastAsia="仿宋_GB2312" w:cs="仿宋_GB2312"/>
          <w:sz w:val="32"/>
          <w:szCs w:val="32"/>
          <w:highlight w:val="none"/>
        </w:rPr>
        <w:t>申报工作。</w:t>
      </w:r>
      <w:r>
        <w:rPr>
          <w:rFonts w:hint="eastAsia" w:ascii="仿宋_GB2312" w:hAnsi="仿宋_GB2312" w:eastAsia="仿宋_GB2312" w:cs="仿宋_GB2312"/>
          <w:sz w:val="32"/>
          <w:szCs w:val="32"/>
          <w:highlight w:val="none"/>
          <w:lang w:val="en-US" w:eastAsia="zh-CN"/>
        </w:rPr>
        <w:t>申报人按要求准备申报材料，将材料上报至本单位评审推荐小组。</w:t>
      </w:r>
      <w:r>
        <w:rPr>
          <w:rFonts w:hint="eastAsia" w:ascii="仿宋_GB2312" w:hAnsi="仿宋_GB2312" w:eastAsia="仿宋_GB2312" w:cs="仿宋_GB2312"/>
          <w:sz w:val="32"/>
          <w:szCs w:val="32"/>
          <w:highlight w:val="none"/>
        </w:rPr>
        <w:t>学生思想政治教育研究系列的申报材料报送</w:t>
      </w:r>
      <w:r>
        <w:rPr>
          <w:rFonts w:hint="eastAsia" w:ascii="仿宋_GB2312" w:hAnsi="仿宋_GB2312" w:eastAsia="仿宋_GB2312" w:cs="仿宋_GB2312"/>
          <w:sz w:val="32"/>
          <w:szCs w:val="32"/>
          <w:highlight w:val="none"/>
          <w:lang w:val="en-US" w:eastAsia="zh-CN"/>
        </w:rPr>
        <w:t>至学生</w:t>
      </w:r>
      <w:r>
        <w:rPr>
          <w:rFonts w:hint="eastAsia" w:ascii="仿宋_GB2312" w:hAnsi="仿宋_GB2312" w:eastAsia="仿宋_GB2312" w:cs="仿宋_GB2312"/>
          <w:sz w:val="32"/>
          <w:szCs w:val="32"/>
          <w:highlight w:val="none"/>
        </w:rPr>
        <w:t>思想政治</w:t>
      </w:r>
      <w:r>
        <w:rPr>
          <w:rFonts w:hint="eastAsia" w:ascii="仿宋_GB2312" w:hAnsi="仿宋_GB2312" w:eastAsia="仿宋_GB2312" w:cs="仿宋_GB2312"/>
          <w:sz w:val="32"/>
          <w:szCs w:val="32"/>
          <w:highlight w:val="none"/>
          <w:lang w:val="en-US" w:eastAsia="zh-CN"/>
        </w:rPr>
        <w:t>教育</w:t>
      </w:r>
      <w:r>
        <w:rPr>
          <w:rFonts w:hint="eastAsia" w:ascii="仿宋_GB2312" w:hAnsi="仿宋_GB2312" w:eastAsia="仿宋_GB2312" w:cs="仿宋_GB2312"/>
          <w:sz w:val="32"/>
          <w:szCs w:val="32"/>
          <w:highlight w:val="none"/>
        </w:rPr>
        <w:t>研究系列职称评审推荐小组。</w:t>
      </w:r>
      <w:r>
        <w:rPr>
          <w:rFonts w:hint="eastAsia" w:ascii="仿宋_GB2312" w:hAnsi="仿宋_GB2312" w:eastAsia="仿宋_GB2312" w:cs="仿宋_GB2312"/>
          <w:sz w:val="32"/>
          <w:szCs w:val="32"/>
          <w:highlight w:val="none"/>
          <w:lang w:val="en-US" w:eastAsia="zh-CN"/>
        </w:rPr>
        <w:t>思政课教师的申报材料报送至</w:t>
      </w:r>
      <w:r>
        <w:rPr>
          <w:rFonts w:hint="eastAsia" w:ascii="仿宋_GB2312" w:hAnsi="仿宋_GB2312" w:eastAsia="仿宋_GB2312" w:cs="仿宋_GB2312"/>
          <w:sz w:val="32"/>
          <w:szCs w:val="32"/>
          <w:highlight w:val="none"/>
        </w:rPr>
        <w:t>思政</w:t>
      </w:r>
      <w:r>
        <w:rPr>
          <w:rFonts w:hint="eastAsia" w:ascii="仿宋_GB2312" w:hAnsi="仿宋_GB2312" w:eastAsia="仿宋_GB2312" w:cs="仿宋_GB2312"/>
          <w:sz w:val="32"/>
          <w:szCs w:val="32"/>
          <w:highlight w:val="none"/>
          <w:lang w:val="en-US" w:eastAsia="zh-CN"/>
        </w:rPr>
        <w:t>课</w:t>
      </w:r>
      <w:r>
        <w:rPr>
          <w:rFonts w:hint="eastAsia" w:ascii="仿宋_GB2312" w:hAnsi="仿宋_GB2312" w:eastAsia="仿宋_GB2312" w:cs="仿宋_GB2312"/>
          <w:sz w:val="32"/>
          <w:szCs w:val="32"/>
          <w:highlight w:val="none"/>
        </w:rPr>
        <w:t>教师评审推荐小组</w:t>
      </w:r>
      <w:r>
        <w:rPr>
          <w:rFonts w:hint="eastAsia" w:ascii="仿宋_GB2312" w:hAnsi="仿宋_GB2312" w:eastAsia="仿宋_GB2312" w:cs="仿宋_GB2312"/>
          <w:sz w:val="32"/>
          <w:szCs w:val="32"/>
          <w:highlight w:val="none"/>
          <w:lang w:eastAsia="zh-CN"/>
        </w:rPr>
        <w:t>。</w:t>
      </w:r>
    </w:p>
    <w:p>
      <w:pPr>
        <w:pageBreakBefore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highlight w:val="none"/>
        </w:rPr>
      </w:pPr>
      <w:r>
        <w:rPr>
          <w:rFonts w:hint="eastAsia" w:ascii="楷体_GB2312" w:hAnsi="楷体_GB2312" w:eastAsia="楷体_GB2312" w:cs="楷体_GB2312"/>
          <w:sz w:val="32"/>
          <w:szCs w:val="32"/>
          <w:highlight w:val="none"/>
        </w:rPr>
        <w:t>（</w:t>
      </w:r>
      <w:r>
        <w:rPr>
          <w:rFonts w:hint="eastAsia" w:ascii="楷体_GB2312" w:hAnsi="楷体_GB2312" w:eastAsia="楷体_GB2312" w:cs="楷体_GB2312"/>
          <w:sz w:val="32"/>
          <w:szCs w:val="32"/>
          <w:highlight w:val="none"/>
          <w:lang w:val="en-US" w:eastAsia="zh-CN"/>
        </w:rPr>
        <w:t>三</w:t>
      </w:r>
      <w:r>
        <w:rPr>
          <w:rFonts w:hint="eastAsia" w:ascii="楷体_GB2312" w:hAnsi="楷体_GB2312" w:eastAsia="楷体_GB2312" w:cs="楷体_GB2312"/>
          <w:sz w:val="32"/>
          <w:szCs w:val="32"/>
          <w:highlight w:val="none"/>
        </w:rPr>
        <w:t>）参评资格审核。</w:t>
      </w:r>
      <w:r>
        <w:rPr>
          <w:rFonts w:hint="eastAsia" w:ascii="仿宋_GB2312" w:hAnsi="仿宋_GB2312" w:eastAsia="仿宋_GB2312" w:cs="仿宋_GB2312"/>
          <w:sz w:val="32"/>
          <w:szCs w:val="32"/>
          <w:highlight w:val="none"/>
        </w:rPr>
        <w:t>各二级学院（部门）材料审核组应严格按照评审条件及有关规定，认真审核申报人员提交的评审材料。各单位须认真填写《职称申报单位诚信承诺书》</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确保</w:t>
      </w:r>
      <w:r>
        <w:rPr>
          <w:rFonts w:hint="eastAsia" w:ascii="仿宋_GB2312" w:hAnsi="仿宋_GB2312" w:eastAsia="仿宋_GB2312" w:cs="仿宋_GB2312"/>
          <w:sz w:val="32"/>
          <w:szCs w:val="32"/>
          <w:highlight w:val="none"/>
        </w:rPr>
        <w:t>审核工作责任到人</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所有业绩成果材料须加盖</w:t>
      </w:r>
      <w:r>
        <w:rPr>
          <w:rFonts w:hint="eastAsia" w:ascii="仿宋_GB2312" w:hAnsi="仿宋_GB2312" w:eastAsia="仿宋_GB2312" w:cs="仿宋_GB2312"/>
          <w:sz w:val="32"/>
          <w:szCs w:val="32"/>
          <w:highlight w:val="none"/>
          <w:lang w:val="en-US" w:eastAsia="zh-CN"/>
        </w:rPr>
        <w:t>二级学院（部门）</w:t>
      </w:r>
      <w:r>
        <w:rPr>
          <w:rFonts w:hint="eastAsia" w:ascii="仿宋_GB2312" w:hAnsi="仿宋_GB2312" w:eastAsia="仿宋_GB2312" w:cs="仿宋_GB2312"/>
          <w:sz w:val="32"/>
          <w:szCs w:val="32"/>
          <w:highlight w:val="none"/>
        </w:rPr>
        <w:t>公章，</w:t>
      </w:r>
      <w:r>
        <w:rPr>
          <w:rFonts w:hint="eastAsia" w:ascii="仿宋_GB2312" w:hAnsi="仿宋_GB2312" w:eastAsia="仿宋_GB2312" w:cs="仿宋_GB2312"/>
          <w:sz w:val="32"/>
          <w:szCs w:val="32"/>
          <w:highlight w:val="none"/>
          <w:lang w:val="en-US" w:eastAsia="zh-CN"/>
        </w:rPr>
        <w:t>并由审核人签字，</w:t>
      </w:r>
      <w:r>
        <w:rPr>
          <w:rFonts w:hint="eastAsia" w:ascii="仿宋_GB2312" w:hAnsi="仿宋_GB2312" w:eastAsia="仿宋_GB2312" w:cs="仿宋_GB2312"/>
          <w:sz w:val="32"/>
          <w:szCs w:val="32"/>
          <w:highlight w:val="none"/>
        </w:rPr>
        <w:t>谁审核、谁签字、谁负责。</w:t>
      </w:r>
    </w:p>
    <w:p>
      <w:pPr>
        <w:pageBreakBefore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highlight w:val="none"/>
        </w:rPr>
      </w:pPr>
      <w:r>
        <w:rPr>
          <w:rFonts w:hint="eastAsia" w:ascii="楷体_GB2312" w:hAnsi="楷体_GB2312" w:eastAsia="楷体_GB2312" w:cs="楷体_GB2312"/>
          <w:sz w:val="32"/>
          <w:szCs w:val="32"/>
          <w:highlight w:val="none"/>
        </w:rPr>
        <w:t>（</w:t>
      </w:r>
      <w:r>
        <w:rPr>
          <w:rFonts w:hint="eastAsia" w:ascii="楷体_GB2312" w:hAnsi="楷体_GB2312" w:eastAsia="楷体_GB2312" w:cs="楷体_GB2312"/>
          <w:sz w:val="32"/>
          <w:szCs w:val="32"/>
          <w:highlight w:val="none"/>
          <w:lang w:val="en-US" w:eastAsia="zh-CN"/>
        </w:rPr>
        <w:t>四</w:t>
      </w:r>
      <w:r>
        <w:rPr>
          <w:rFonts w:hint="eastAsia" w:ascii="楷体_GB2312" w:hAnsi="楷体_GB2312" w:eastAsia="楷体_GB2312" w:cs="楷体_GB2312"/>
          <w:sz w:val="32"/>
          <w:szCs w:val="32"/>
          <w:highlight w:val="none"/>
        </w:rPr>
        <w:t>）说课评价</w:t>
      </w:r>
      <w:r>
        <w:rPr>
          <w:rFonts w:hint="eastAsia" w:ascii="楷体_GB2312" w:hAnsi="楷体_GB2312" w:eastAsia="楷体_GB2312" w:cs="楷体_GB2312"/>
          <w:sz w:val="32"/>
          <w:szCs w:val="32"/>
          <w:highlight w:val="none"/>
          <w:lang w:eastAsia="zh-CN"/>
        </w:rPr>
        <w:t>。</w:t>
      </w:r>
      <w:r>
        <w:rPr>
          <w:rFonts w:hint="eastAsia" w:ascii="仿宋_GB2312" w:hAnsi="仿宋_GB2312" w:eastAsia="仿宋_GB2312" w:cs="仿宋_GB2312"/>
          <w:sz w:val="32"/>
          <w:szCs w:val="32"/>
          <w:highlight w:val="none"/>
          <w:lang w:val="en-US" w:eastAsia="zh-CN"/>
        </w:rPr>
        <w:t>确定</w:t>
      </w:r>
      <w:r>
        <w:rPr>
          <w:rFonts w:hint="eastAsia" w:ascii="仿宋_GB2312" w:hAnsi="仿宋_GB2312" w:eastAsia="仿宋_GB2312" w:cs="仿宋_GB2312"/>
          <w:sz w:val="32"/>
          <w:szCs w:val="32"/>
          <w:highlight w:val="none"/>
        </w:rPr>
        <w:t>审</w:t>
      </w:r>
      <w:r>
        <w:rPr>
          <w:rFonts w:hint="eastAsia" w:ascii="仿宋_GB2312" w:hAnsi="仿宋_GB2312" w:eastAsia="仿宋_GB2312" w:cs="仿宋_GB2312"/>
          <w:sz w:val="32"/>
          <w:szCs w:val="32"/>
          <w:highlight w:val="none"/>
          <w:lang w:eastAsia="zh-Hans"/>
        </w:rPr>
        <w:t>核</w:t>
      </w:r>
      <w:r>
        <w:rPr>
          <w:rFonts w:hint="eastAsia" w:ascii="仿宋_GB2312" w:hAnsi="仿宋_GB2312" w:eastAsia="仿宋_GB2312" w:cs="仿宋_GB2312"/>
          <w:sz w:val="32"/>
          <w:szCs w:val="32"/>
          <w:highlight w:val="none"/>
        </w:rPr>
        <w:t>通过人员</w:t>
      </w:r>
      <w:r>
        <w:rPr>
          <w:rFonts w:hint="eastAsia" w:ascii="仿宋_GB2312" w:hAnsi="仿宋_GB2312" w:eastAsia="仿宋_GB2312" w:cs="仿宋_GB2312"/>
          <w:sz w:val="32"/>
          <w:szCs w:val="32"/>
          <w:highlight w:val="none"/>
          <w:lang w:val="en-US" w:eastAsia="zh-CN"/>
        </w:rPr>
        <w:t>后</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Hans"/>
        </w:rPr>
        <w:t>各二级学院（部门）</w:t>
      </w:r>
      <w:r>
        <w:rPr>
          <w:rFonts w:hint="eastAsia" w:ascii="仿宋_GB2312" w:hAnsi="仿宋_GB2312" w:eastAsia="仿宋_GB2312" w:cs="仿宋_GB2312"/>
          <w:sz w:val="32"/>
          <w:szCs w:val="32"/>
          <w:highlight w:val="none"/>
        </w:rPr>
        <w:t>成立</w:t>
      </w:r>
      <w:r>
        <w:rPr>
          <w:rFonts w:hint="eastAsia" w:ascii="仿宋_GB2312" w:hAnsi="仿宋_GB2312" w:eastAsia="仿宋_GB2312" w:cs="仿宋_GB2312"/>
          <w:sz w:val="32"/>
          <w:szCs w:val="32"/>
          <w:highlight w:val="none"/>
          <w:lang w:eastAsia="zh-Hans"/>
        </w:rPr>
        <w:t>学科评议组</w:t>
      </w:r>
      <w:r>
        <w:rPr>
          <w:rFonts w:hint="eastAsia" w:ascii="仿宋_GB2312" w:hAnsi="仿宋_GB2312" w:eastAsia="仿宋_GB2312" w:cs="仿宋_GB2312"/>
          <w:sz w:val="32"/>
          <w:szCs w:val="32"/>
          <w:highlight w:val="none"/>
        </w:rPr>
        <w:t>（3-5人，于评审前5天报人事处备案）</w:t>
      </w:r>
      <w:r>
        <w:rPr>
          <w:rFonts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rPr>
        <w:t>对</w:t>
      </w:r>
      <w:r>
        <w:rPr>
          <w:rFonts w:hint="eastAsia" w:ascii="仿宋_GB2312" w:hAnsi="仿宋_GB2312" w:eastAsia="仿宋_GB2312" w:cs="仿宋_GB2312"/>
          <w:sz w:val="32"/>
          <w:szCs w:val="32"/>
          <w:highlight w:val="none"/>
          <w:lang w:val="en-US" w:eastAsia="zh-CN"/>
        </w:rPr>
        <w:t>初、中、</w:t>
      </w:r>
      <w:r>
        <w:rPr>
          <w:rFonts w:hint="eastAsia" w:ascii="仿宋_GB2312" w:hAnsi="仿宋_GB2312" w:eastAsia="仿宋_GB2312" w:cs="仿宋_GB2312"/>
          <w:sz w:val="32"/>
          <w:szCs w:val="32"/>
          <w:highlight w:val="none"/>
        </w:rPr>
        <w:t>高级</w:t>
      </w:r>
      <w:r>
        <w:rPr>
          <w:rFonts w:hint="eastAsia" w:ascii="仿宋_GB2312" w:hAnsi="仿宋_GB2312" w:eastAsia="仿宋_GB2312" w:cs="仿宋_GB2312"/>
          <w:sz w:val="32"/>
          <w:szCs w:val="32"/>
          <w:highlight w:val="none"/>
          <w:lang w:eastAsia="zh-Hans"/>
        </w:rPr>
        <w:t>职称</w:t>
      </w:r>
      <w:r>
        <w:rPr>
          <w:rFonts w:hint="eastAsia" w:ascii="仿宋_GB2312" w:hAnsi="仿宋_GB2312" w:eastAsia="仿宋_GB2312" w:cs="仿宋_GB2312"/>
          <w:sz w:val="32"/>
          <w:szCs w:val="32"/>
          <w:highlight w:val="none"/>
        </w:rPr>
        <w:t>申报人组织现场说课评价（满分10分）</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综合评议后确定初步推荐人选，</w:t>
      </w:r>
      <w:r>
        <w:rPr>
          <w:rFonts w:hint="eastAsia" w:ascii="仿宋_GB2312" w:hAnsi="仿宋_GB2312" w:eastAsia="仿宋_GB2312" w:cs="仿宋_GB2312"/>
          <w:sz w:val="32"/>
          <w:szCs w:val="32"/>
          <w:highlight w:val="none"/>
        </w:rPr>
        <w:t>填写《内蒙古艺术学院</w:t>
      </w:r>
      <w:r>
        <w:rPr>
          <w:rFonts w:hint="eastAsia" w:ascii="仿宋_GB2312" w:hAnsi="仿宋_GB2312" w:eastAsia="仿宋_GB2312" w:cs="仿宋_GB2312"/>
          <w:sz w:val="32"/>
          <w:szCs w:val="32"/>
          <w:highlight w:val="none"/>
          <w:lang w:eastAsia="zh-Hans"/>
        </w:rPr>
        <w:t>职称</w:t>
      </w:r>
      <w:r>
        <w:rPr>
          <w:rFonts w:hint="eastAsia" w:ascii="仿宋_GB2312" w:hAnsi="仿宋_GB2312" w:eastAsia="仿宋_GB2312" w:cs="仿宋_GB2312"/>
          <w:sz w:val="32"/>
          <w:szCs w:val="32"/>
          <w:highlight w:val="none"/>
        </w:rPr>
        <w:t>申报人员花名册》（含初、中、高级），统一报送人事处。</w:t>
      </w:r>
    </w:p>
    <w:p>
      <w:pPr>
        <w:pageBreakBefore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highlight w:val="none"/>
        </w:rPr>
      </w:pPr>
      <w:r>
        <w:rPr>
          <w:rFonts w:hint="eastAsia" w:ascii="楷体_GB2312" w:hAnsi="楷体_GB2312" w:eastAsia="楷体_GB2312" w:cs="楷体_GB2312"/>
          <w:sz w:val="32"/>
          <w:szCs w:val="32"/>
          <w:highlight w:val="none"/>
        </w:rPr>
        <w:t>（</w:t>
      </w:r>
      <w:r>
        <w:rPr>
          <w:rFonts w:hint="eastAsia" w:ascii="楷体_GB2312" w:hAnsi="楷体_GB2312" w:eastAsia="楷体_GB2312" w:cs="楷体_GB2312"/>
          <w:sz w:val="32"/>
          <w:szCs w:val="32"/>
          <w:highlight w:val="none"/>
          <w:lang w:val="en-US" w:eastAsia="zh-CN"/>
        </w:rPr>
        <w:t>五</w:t>
      </w:r>
      <w:r>
        <w:rPr>
          <w:rFonts w:hint="eastAsia" w:ascii="楷体_GB2312" w:hAnsi="楷体_GB2312" w:eastAsia="楷体_GB2312" w:cs="楷体_GB2312"/>
          <w:sz w:val="32"/>
          <w:szCs w:val="32"/>
          <w:highlight w:val="none"/>
        </w:rPr>
        <w:t>）教学工作、专业成果赋分及公示</w:t>
      </w:r>
      <w:r>
        <w:rPr>
          <w:rFonts w:hint="eastAsia" w:ascii="楷体_GB2312" w:hAnsi="楷体_GB2312" w:eastAsia="楷体_GB2312" w:cs="楷体_GB2312"/>
          <w:sz w:val="32"/>
          <w:szCs w:val="32"/>
          <w:highlight w:val="none"/>
          <w:lang w:eastAsia="zh-CN"/>
        </w:rPr>
        <w:t>。</w:t>
      </w:r>
      <w:r>
        <w:rPr>
          <w:rFonts w:hint="eastAsia" w:ascii="仿宋_GB2312" w:hAnsi="仿宋_GB2312" w:eastAsia="仿宋_GB2312" w:cs="仿宋_GB2312"/>
          <w:sz w:val="32"/>
          <w:szCs w:val="32"/>
          <w:highlight w:val="none"/>
        </w:rPr>
        <w:t>根据《内蒙古艺术学院</w:t>
      </w:r>
      <w:r>
        <w:rPr>
          <w:rFonts w:hint="eastAsia" w:ascii="仿宋_GB2312" w:hAnsi="仿宋_GB2312" w:eastAsia="仿宋_GB2312" w:cs="仿宋_GB2312"/>
          <w:sz w:val="32"/>
          <w:szCs w:val="32"/>
          <w:highlight w:val="none"/>
          <w:lang w:eastAsia="zh-Hans"/>
        </w:rPr>
        <w:t>职称</w:t>
      </w:r>
      <w:r>
        <w:rPr>
          <w:rFonts w:hint="eastAsia" w:ascii="仿宋_GB2312" w:hAnsi="仿宋_GB2312" w:eastAsia="仿宋_GB2312" w:cs="仿宋_GB2312"/>
          <w:sz w:val="32"/>
          <w:szCs w:val="32"/>
          <w:highlight w:val="none"/>
        </w:rPr>
        <w:t>评审赋分办法及</w:t>
      </w:r>
      <w:r>
        <w:rPr>
          <w:rFonts w:hint="eastAsia" w:ascii="仿宋_GB2312" w:hAnsi="仿宋_GB2312" w:eastAsia="仿宋_GB2312" w:cs="仿宋_GB2312"/>
          <w:sz w:val="32"/>
          <w:szCs w:val="32"/>
          <w:highlight w:val="none"/>
          <w:lang w:val="en-US" w:eastAsia="zh-CN"/>
        </w:rPr>
        <w:t>成果</w:t>
      </w:r>
      <w:r>
        <w:rPr>
          <w:rFonts w:hint="eastAsia" w:ascii="仿宋_GB2312" w:hAnsi="仿宋_GB2312" w:eastAsia="仿宋_GB2312" w:cs="仿宋_GB2312"/>
          <w:sz w:val="32"/>
          <w:szCs w:val="32"/>
          <w:highlight w:val="none"/>
        </w:rPr>
        <w:t>认定标准》，各二级学院（部门）</w:t>
      </w:r>
      <w:r>
        <w:rPr>
          <w:rFonts w:hint="eastAsia" w:ascii="仿宋_GB2312" w:hAnsi="仿宋_GB2312" w:eastAsia="仿宋_GB2312" w:cs="仿宋_GB2312"/>
          <w:sz w:val="32"/>
          <w:szCs w:val="32"/>
          <w:highlight w:val="none"/>
          <w:lang w:val="en-US" w:eastAsia="zh-CN"/>
        </w:rPr>
        <w:t>评审推荐小组</w:t>
      </w:r>
      <w:r>
        <w:rPr>
          <w:rFonts w:hint="eastAsia" w:ascii="仿宋_GB2312" w:hAnsi="仿宋_GB2312" w:eastAsia="仿宋_GB2312" w:cs="仿宋_GB2312"/>
          <w:sz w:val="32"/>
          <w:szCs w:val="32"/>
          <w:highlight w:val="none"/>
        </w:rPr>
        <w:t>对</w:t>
      </w:r>
      <w:r>
        <w:rPr>
          <w:rFonts w:hint="eastAsia" w:ascii="仿宋_GB2312" w:hAnsi="仿宋_GB2312" w:eastAsia="仿宋_GB2312" w:cs="仿宋_GB2312"/>
          <w:sz w:val="32"/>
          <w:szCs w:val="32"/>
          <w:highlight w:val="none"/>
          <w:lang w:val="en-US" w:eastAsia="zh-CN"/>
        </w:rPr>
        <w:t>高级职称（含副高、正高级，下同。）</w:t>
      </w:r>
      <w:r>
        <w:rPr>
          <w:rFonts w:hint="eastAsia" w:ascii="仿宋_GB2312" w:hAnsi="仿宋_GB2312" w:eastAsia="仿宋_GB2312" w:cs="仿宋_GB2312"/>
          <w:sz w:val="32"/>
          <w:szCs w:val="32"/>
          <w:highlight w:val="none"/>
        </w:rPr>
        <w:t>申报人的教学工作进行赋分，教务处</w:t>
      </w:r>
      <w:r>
        <w:rPr>
          <w:rFonts w:hint="eastAsia" w:ascii="仿宋_GB2312" w:hAnsi="仿宋_GB2312" w:eastAsia="仿宋_GB2312" w:cs="仿宋_GB2312"/>
          <w:sz w:val="32"/>
          <w:szCs w:val="32"/>
          <w:highlight w:val="none"/>
          <w:lang w:val="en-US" w:eastAsia="zh-CN"/>
        </w:rPr>
        <w:t>和</w:t>
      </w:r>
      <w:r>
        <w:rPr>
          <w:rFonts w:hint="eastAsia" w:ascii="仿宋_GB2312" w:hAnsi="仿宋_GB2312" w:eastAsia="仿宋_GB2312" w:cs="仿宋_GB2312"/>
          <w:sz w:val="32"/>
          <w:szCs w:val="32"/>
          <w:highlight w:val="none"/>
        </w:rPr>
        <w:t>科研处对</w:t>
      </w:r>
      <w:r>
        <w:rPr>
          <w:rFonts w:hint="eastAsia" w:ascii="仿宋_GB2312" w:hAnsi="仿宋_GB2312" w:eastAsia="仿宋_GB2312" w:cs="仿宋_GB2312"/>
          <w:sz w:val="32"/>
          <w:szCs w:val="32"/>
          <w:highlight w:val="none"/>
          <w:lang w:val="en-US" w:eastAsia="zh-CN"/>
        </w:rPr>
        <w:t>高级职称</w:t>
      </w:r>
      <w:r>
        <w:rPr>
          <w:rFonts w:hint="eastAsia" w:ascii="仿宋_GB2312" w:hAnsi="仿宋_GB2312" w:eastAsia="仿宋_GB2312" w:cs="仿宋_GB2312"/>
          <w:sz w:val="32"/>
          <w:szCs w:val="32"/>
          <w:highlight w:val="none"/>
        </w:rPr>
        <w:t>申报人的专业成果进行赋分</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初、中级职称申报人不参与赋分环节</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没有</w:t>
      </w:r>
      <w:r>
        <w:rPr>
          <w:rFonts w:hint="eastAsia" w:ascii="仿宋_GB2312" w:hAnsi="仿宋_GB2312" w:eastAsia="仿宋_GB2312" w:cs="仿宋_GB2312"/>
          <w:sz w:val="32"/>
          <w:szCs w:val="32"/>
          <w:highlight w:val="none"/>
          <w:lang w:val="en-US" w:eastAsia="zh-CN"/>
        </w:rPr>
        <w:t>在教务处和科研处</w:t>
      </w:r>
      <w:r>
        <w:rPr>
          <w:rFonts w:hint="eastAsia" w:ascii="仿宋_GB2312" w:hAnsi="仿宋_GB2312" w:eastAsia="仿宋_GB2312" w:cs="仿宋_GB2312"/>
          <w:sz w:val="32"/>
          <w:szCs w:val="32"/>
          <w:highlight w:val="none"/>
        </w:rPr>
        <w:t>备案的新成果</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各二级学院（部门）统一</w:t>
      </w:r>
      <w:r>
        <w:rPr>
          <w:rFonts w:hint="eastAsia" w:ascii="仿宋_GB2312" w:hAnsi="仿宋_GB2312" w:eastAsia="仿宋_GB2312" w:cs="仿宋_GB2312"/>
          <w:sz w:val="32"/>
          <w:szCs w:val="32"/>
          <w:highlight w:val="none"/>
          <w:lang w:val="en-US" w:eastAsia="zh-CN"/>
        </w:rPr>
        <w:t>收取成果原件并报送至人事处，由人事处转交两个部门进行成果审核备案</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赋分工作结束后，</w:t>
      </w:r>
      <w:r>
        <w:rPr>
          <w:rFonts w:hint="eastAsia" w:ascii="仿宋_GB2312" w:hAnsi="仿宋_GB2312" w:eastAsia="仿宋_GB2312" w:cs="仿宋_GB2312"/>
          <w:sz w:val="32"/>
          <w:szCs w:val="32"/>
          <w:highlight w:val="none"/>
        </w:rPr>
        <w:t>各二级学院（部门）</w:t>
      </w:r>
      <w:r>
        <w:rPr>
          <w:rFonts w:hint="eastAsia" w:ascii="仿宋_GB2312" w:hAnsi="仿宋_GB2312" w:eastAsia="仿宋_GB2312" w:cs="仿宋_GB2312"/>
          <w:sz w:val="32"/>
          <w:szCs w:val="32"/>
          <w:highlight w:val="none"/>
          <w:lang w:val="en-US" w:eastAsia="zh-CN"/>
        </w:rPr>
        <w:t>将初、中、高级</w:t>
      </w:r>
      <w:r>
        <w:rPr>
          <w:rFonts w:hint="eastAsia" w:ascii="仿宋_GB2312" w:hAnsi="仿宋_GB2312" w:eastAsia="仿宋_GB2312" w:cs="仿宋_GB2312"/>
          <w:sz w:val="32"/>
          <w:szCs w:val="32"/>
          <w:highlight w:val="none"/>
        </w:rPr>
        <w:t>申报人的《专业技术资格送审表》</w:t>
      </w:r>
      <w:r>
        <w:rPr>
          <w:rFonts w:hint="eastAsia" w:ascii="仿宋_GB2312" w:hAnsi="仿宋_GB2312" w:eastAsia="仿宋_GB2312" w:cs="仿宋_GB2312"/>
          <w:sz w:val="32"/>
          <w:szCs w:val="32"/>
          <w:highlight w:val="none"/>
          <w:lang w:val="en-US" w:eastAsia="zh-CN"/>
        </w:rPr>
        <w:t>以及花名册在二级学院（部门）</w:t>
      </w:r>
      <w:r>
        <w:rPr>
          <w:rFonts w:hint="eastAsia" w:ascii="仿宋_GB2312" w:hAnsi="仿宋_GB2312" w:eastAsia="仿宋_GB2312" w:cs="仿宋_GB2312"/>
          <w:sz w:val="32"/>
          <w:szCs w:val="32"/>
          <w:highlight w:val="none"/>
        </w:rPr>
        <w:t>公示</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高级职称申报人还需同时公示</w:t>
      </w:r>
      <w:r>
        <w:rPr>
          <w:rFonts w:hint="eastAsia" w:ascii="仿宋_GB2312" w:hAnsi="仿宋_GB2312" w:eastAsia="仿宋_GB2312" w:cs="仿宋_GB2312"/>
          <w:sz w:val="32"/>
          <w:szCs w:val="32"/>
          <w:highlight w:val="none"/>
        </w:rPr>
        <w:t>《教师量化赋分表》和本单位赋分排序结果，公示时间为5个工作日，对于公示中反映的问题要认真核实，核查无误后，方可推荐上报。</w:t>
      </w:r>
    </w:p>
    <w:p>
      <w:pPr>
        <w:pageBreakBefore w:val="0"/>
        <w:numPr>
          <w:ilvl w:val="0"/>
          <w:numId w:val="0"/>
        </w:numPr>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highlight w:val="none"/>
        </w:rPr>
      </w:pPr>
      <w:r>
        <w:rPr>
          <w:rFonts w:hint="eastAsia" w:ascii="楷体_GB2312" w:hAnsi="楷体_GB2312" w:eastAsia="楷体_GB2312" w:cs="楷体_GB2312"/>
          <w:sz w:val="32"/>
          <w:szCs w:val="32"/>
          <w:highlight w:val="none"/>
          <w:lang w:eastAsia="zh-CN"/>
        </w:rPr>
        <w:t>（</w:t>
      </w:r>
      <w:r>
        <w:rPr>
          <w:rFonts w:hint="eastAsia" w:ascii="楷体_GB2312" w:hAnsi="楷体_GB2312" w:eastAsia="楷体_GB2312" w:cs="楷体_GB2312"/>
          <w:sz w:val="32"/>
          <w:szCs w:val="32"/>
          <w:highlight w:val="none"/>
          <w:lang w:val="en-US" w:eastAsia="zh-CN"/>
        </w:rPr>
        <w:t>六</w:t>
      </w:r>
      <w:r>
        <w:rPr>
          <w:rFonts w:hint="eastAsia" w:ascii="楷体_GB2312" w:hAnsi="楷体_GB2312" w:eastAsia="楷体_GB2312" w:cs="楷体_GB2312"/>
          <w:sz w:val="32"/>
          <w:szCs w:val="32"/>
          <w:highlight w:val="none"/>
          <w:lang w:eastAsia="zh-CN"/>
        </w:rPr>
        <w:t>）</w:t>
      </w:r>
      <w:r>
        <w:rPr>
          <w:rFonts w:hint="eastAsia" w:ascii="楷体_GB2312" w:hAnsi="楷体_GB2312" w:eastAsia="楷体_GB2312" w:cs="楷体_GB2312"/>
          <w:sz w:val="32"/>
          <w:szCs w:val="32"/>
          <w:highlight w:val="none"/>
        </w:rPr>
        <w:t>推荐人选及上报材料。</w:t>
      </w:r>
      <w:r>
        <w:rPr>
          <w:rFonts w:hint="eastAsia" w:ascii="仿宋_GB2312" w:hAnsi="仿宋_GB2312" w:eastAsia="仿宋_GB2312" w:cs="仿宋_GB2312"/>
          <w:sz w:val="32"/>
          <w:szCs w:val="32"/>
          <w:highlight w:val="none"/>
        </w:rPr>
        <w:t>各二级学院（部门）公示无异议后将公示报告</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推荐人员花名册</w:t>
      </w:r>
      <w:r>
        <w:rPr>
          <w:rFonts w:hint="eastAsia" w:ascii="仿宋_GB2312" w:hAnsi="仿宋_GB2312" w:eastAsia="仿宋_GB2312" w:cs="仿宋_GB2312"/>
          <w:sz w:val="32"/>
          <w:szCs w:val="32"/>
          <w:highlight w:val="none"/>
        </w:rPr>
        <w:t>及相关材料上报人事处。</w:t>
      </w:r>
      <w:r>
        <w:rPr>
          <w:rFonts w:hint="eastAsia" w:ascii="仿宋_GB2312" w:hAnsi="仿宋_GB2312" w:eastAsia="仿宋_GB2312" w:cs="仿宋_GB2312"/>
          <w:sz w:val="32"/>
          <w:szCs w:val="32"/>
          <w:highlight w:val="none"/>
          <w:lang w:eastAsia="zh-Hans"/>
        </w:rPr>
        <w:t>学校职称评审</w:t>
      </w:r>
      <w:r>
        <w:rPr>
          <w:rFonts w:hint="eastAsia" w:ascii="仿宋_GB2312" w:hAnsi="仿宋_GB2312" w:eastAsia="仿宋_GB2312" w:cs="仿宋_GB2312"/>
          <w:sz w:val="32"/>
          <w:szCs w:val="32"/>
          <w:highlight w:val="none"/>
        </w:rPr>
        <w:t>领导小组</w:t>
      </w:r>
      <w:r>
        <w:rPr>
          <w:rFonts w:hint="eastAsia" w:ascii="仿宋_GB2312" w:hAnsi="仿宋_GB2312" w:eastAsia="仿宋_GB2312" w:cs="仿宋_GB2312"/>
          <w:sz w:val="32"/>
          <w:szCs w:val="32"/>
          <w:highlight w:val="none"/>
          <w:lang w:val="en-US" w:eastAsia="zh-CN"/>
        </w:rPr>
        <w:t>会议根据赋分情况和职数总量划定分数线，</w:t>
      </w:r>
      <w:r>
        <w:rPr>
          <w:rFonts w:hint="eastAsia" w:ascii="仿宋_GB2312" w:hAnsi="仿宋_GB2312" w:eastAsia="仿宋_GB2312" w:cs="仿宋_GB2312"/>
          <w:sz w:val="32"/>
          <w:szCs w:val="32"/>
          <w:highlight w:val="none"/>
        </w:rPr>
        <w:t>按量化总分排序推荐高级</w:t>
      </w:r>
      <w:r>
        <w:rPr>
          <w:rFonts w:hint="eastAsia" w:ascii="仿宋_GB2312" w:hAnsi="仿宋_GB2312" w:eastAsia="仿宋_GB2312" w:cs="仿宋_GB2312"/>
          <w:sz w:val="32"/>
          <w:szCs w:val="32"/>
          <w:highlight w:val="none"/>
          <w:lang w:eastAsia="zh-Hans"/>
        </w:rPr>
        <w:t>职称参评</w:t>
      </w:r>
      <w:r>
        <w:rPr>
          <w:rFonts w:hint="eastAsia" w:ascii="仿宋_GB2312" w:hAnsi="仿宋_GB2312" w:eastAsia="仿宋_GB2312" w:cs="仿宋_GB2312"/>
          <w:sz w:val="32"/>
          <w:szCs w:val="32"/>
          <w:highlight w:val="none"/>
        </w:rPr>
        <w:t>人选</w:t>
      </w:r>
      <w:r>
        <w:rPr>
          <w:rFonts w:ascii="仿宋_GB2312" w:hAnsi="仿宋_GB2312" w:eastAsia="仿宋_GB2312" w:cs="仿宋_GB2312"/>
          <w:sz w:val="32"/>
          <w:szCs w:val="32"/>
          <w:highlight w:val="none"/>
        </w:rPr>
        <w:t>。</w:t>
      </w:r>
    </w:p>
    <w:p>
      <w:pPr>
        <w:pageBreakBefore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highlight w:val="none"/>
        </w:rPr>
      </w:pPr>
      <w:r>
        <w:rPr>
          <w:rFonts w:hint="eastAsia" w:ascii="楷体_GB2312" w:hAnsi="楷体_GB2312" w:eastAsia="楷体_GB2312" w:cs="楷体_GB2312"/>
          <w:sz w:val="32"/>
          <w:szCs w:val="32"/>
          <w:highlight w:val="none"/>
        </w:rPr>
        <w:t>（</w:t>
      </w:r>
      <w:r>
        <w:rPr>
          <w:rFonts w:hint="eastAsia" w:ascii="楷体_GB2312" w:hAnsi="楷体_GB2312" w:eastAsia="楷体_GB2312" w:cs="楷体_GB2312"/>
          <w:sz w:val="32"/>
          <w:szCs w:val="32"/>
          <w:highlight w:val="none"/>
          <w:lang w:val="en-US" w:eastAsia="zh-CN"/>
        </w:rPr>
        <w:t>七</w:t>
      </w:r>
      <w:r>
        <w:rPr>
          <w:rFonts w:hint="eastAsia" w:ascii="楷体_GB2312" w:hAnsi="楷体_GB2312" w:eastAsia="楷体_GB2312" w:cs="楷体_GB2312"/>
          <w:sz w:val="32"/>
          <w:szCs w:val="32"/>
          <w:highlight w:val="none"/>
        </w:rPr>
        <w:t>）学校</w:t>
      </w:r>
      <w:r>
        <w:rPr>
          <w:rFonts w:hint="eastAsia" w:ascii="楷体_GB2312" w:hAnsi="楷体_GB2312" w:eastAsia="楷体_GB2312" w:cs="楷体_GB2312"/>
          <w:sz w:val="32"/>
          <w:szCs w:val="32"/>
          <w:highlight w:val="none"/>
          <w:lang w:eastAsia="zh-Hans"/>
        </w:rPr>
        <w:t>职称</w:t>
      </w:r>
      <w:r>
        <w:rPr>
          <w:rFonts w:hint="eastAsia" w:ascii="楷体_GB2312" w:hAnsi="楷体_GB2312" w:eastAsia="楷体_GB2312" w:cs="楷体_GB2312"/>
          <w:sz w:val="32"/>
          <w:szCs w:val="32"/>
          <w:highlight w:val="none"/>
        </w:rPr>
        <w:t>评审委员会评审。</w:t>
      </w:r>
      <w:r>
        <w:rPr>
          <w:rFonts w:hint="eastAsia" w:ascii="仿宋_GB2312" w:hAnsi="仿宋_GB2312" w:eastAsia="仿宋_GB2312" w:cs="仿宋_GB2312"/>
          <w:sz w:val="32"/>
          <w:szCs w:val="32"/>
          <w:highlight w:val="none"/>
        </w:rPr>
        <w:t>学校</w:t>
      </w:r>
      <w:r>
        <w:rPr>
          <w:rFonts w:hint="eastAsia" w:ascii="仿宋_GB2312" w:hAnsi="仿宋_GB2312" w:eastAsia="仿宋_GB2312" w:cs="仿宋_GB2312"/>
          <w:sz w:val="32"/>
          <w:szCs w:val="32"/>
          <w:highlight w:val="none"/>
          <w:lang w:eastAsia="zh-Hans"/>
        </w:rPr>
        <w:t>职称</w:t>
      </w:r>
      <w:r>
        <w:rPr>
          <w:rFonts w:hint="eastAsia" w:ascii="仿宋_GB2312" w:hAnsi="仿宋_GB2312" w:eastAsia="仿宋_GB2312" w:cs="仿宋_GB2312"/>
          <w:sz w:val="32"/>
          <w:szCs w:val="32"/>
          <w:highlight w:val="none"/>
        </w:rPr>
        <w:t>评审委员会通过审阅申报材料、面试答辩、综合评议等环节，采取现场打分、投票表决方式确定评审结果。投票表决以赞成票超过到会评委人数三分之二以上为通过。对评审未通过的人员，评审委员会不再进行复议。</w:t>
      </w:r>
    </w:p>
    <w:p>
      <w:pPr>
        <w:pageBreakBefore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highlight w:val="none"/>
        </w:rPr>
      </w:pPr>
      <w:r>
        <w:rPr>
          <w:rFonts w:hint="eastAsia" w:ascii="楷体_GB2312" w:hAnsi="楷体_GB2312" w:eastAsia="楷体_GB2312" w:cs="楷体_GB2312"/>
          <w:sz w:val="32"/>
          <w:szCs w:val="32"/>
          <w:highlight w:val="none"/>
        </w:rPr>
        <w:t>（</w:t>
      </w:r>
      <w:r>
        <w:rPr>
          <w:rFonts w:hint="eastAsia" w:ascii="楷体_GB2312" w:hAnsi="楷体_GB2312" w:eastAsia="楷体_GB2312" w:cs="楷体_GB2312"/>
          <w:sz w:val="32"/>
          <w:szCs w:val="32"/>
          <w:highlight w:val="none"/>
          <w:lang w:val="en-US" w:eastAsia="zh-CN"/>
        </w:rPr>
        <w:t>八</w:t>
      </w:r>
      <w:r>
        <w:rPr>
          <w:rFonts w:hint="eastAsia" w:ascii="楷体_GB2312" w:hAnsi="楷体_GB2312" w:eastAsia="楷体_GB2312" w:cs="楷体_GB2312"/>
          <w:sz w:val="32"/>
          <w:szCs w:val="32"/>
          <w:highlight w:val="none"/>
        </w:rPr>
        <w:t>）评审结果公示。</w:t>
      </w:r>
      <w:r>
        <w:rPr>
          <w:rFonts w:hint="eastAsia" w:ascii="仿宋_GB2312" w:hAnsi="仿宋_GB2312" w:eastAsia="仿宋_GB2312" w:cs="仿宋_GB2312"/>
          <w:sz w:val="32"/>
          <w:szCs w:val="32"/>
          <w:highlight w:val="none"/>
        </w:rPr>
        <w:t>学校</w:t>
      </w:r>
      <w:r>
        <w:rPr>
          <w:rFonts w:hint="eastAsia" w:ascii="仿宋_GB2312" w:hAnsi="仿宋_GB2312" w:eastAsia="仿宋_GB2312" w:cs="仿宋_GB2312"/>
          <w:sz w:val="32"/>
          <w:szCs w:val="32"/>
          <w:highlight w:val="none"/>
          <w:lang w:val="en-US" w:eastAsia="zh-Hans"/>
        </w:rPr>
        <w:t>职称</w:t>
      </w:r>
      <w:r>
        <w:rPr>
          <w:rFonts w:hint="eastAsia" w:ascii="仿宋_GB2312" w:hAnsi="仿宋_GB2312" w:eastAsia="仿宋_GB2312" w:cs="仿宋_GB2312"/>
          <w:sz w:val="32"/>
          <w:szCs w:val="32"/>
          <w:highlight w:val="none"/>
        </w:rPr>
        <w:t>评审委员会评审结果由</w:t>
      </w:r>
      <w:r>
        <w:rPr>
          <w:rFonts w:hint="eastAsia" w:ascii="仿宋_GB2312" w:hAnsi="仿宋_GB2312" w:eastAsia="仿宋_GB2312" w:cs="仿宋_GB2312"/>
          <w:sz w:val="32"/>
          <w:szCs w:val="32"/>
          <w:highlight w:val="none"/>
          <w:lang w:val="en-US" w:eastAsia="zh-CN"/>
        </w:rPr>
        <w:t>职改</w:t>
      </w:r>
      <w:r>
        <w:rPr>
          <w:rFonts w:hint="eastAsia" w:ascii="仿宋_GB2312" w:hAnsi="仿宋_GB2312" w:eastAsia="仿宋_GB2312" w:cs="仿宋_GB2312"/>
          <w:sz w:val="32"/>
          <w:szCs w:val="32"/>
          <w:highlight w:val="none"/>
        </w:rPr>
        <w:t>领导小组办公室对评审通过人员名单及送审表进行公示，公示期为5个工作日。</w:t>
      </w:r>
    </w:p>
    <w:p>
      <w:pPr>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sz w:val="32"/>
          <w:szCs w:val="32"/>
          <w:highlight w:val="none"/>
          <w:lang w:eastAsia="zh-Hans"/>
        </w:rPr>
      </w:pPr>
      <w:r>
        <w:rPr>
          <w:rFonts w:hint="eastAsia" w:ascii="楷体_GB2312" w:hAnsi="楷体_GB2312" w:eastAsia="楷体_GB2312" w:cs="楷体_GB2312"/>
          <w:sz w:val="32"/>
          <w:szCs w:val="32"/>
          <w:highlight w:val="none"/>
          <w:lang w:val="en-US" w:eastAsia="zh-CN"/>
        </w:rPr>
        <w:t>（九）核准备案及聘任。</w:t>
      </w:r>
      <w:r>
        <w:rPr>
          <w:rFonts w:hint="eastAsia" w:ascii="仿宋_GB2312" w:hAnsi="仿宋_GB2312" w:eastAsia="仿宋_GB2312" w:cs="仿宋_GB2312"/>
          <w:sz w:val="32"/>
          <w:szCs w:val="32"/>
          <w:highlight w:val="none"/>
          <w:lang w:val="en-US" w:eastAsia="zh-CN"/>
        </w:rPr>
        <w:t>经公示无异议的，向自治区人社厅、教育厅进行核准备案</w:t>
      </w:r>
      <w:r>
        <w:rPr>
          <w:rFonts w:hint="eastAsia" w:ascii="仿宋_GB2312" w:hAnsi="仿宋_GB2312" w:eastAsia="仿宋_GB2312" w:cs="仿宋_GB2312"/>
          <w:sz w:val="32"/>
          <w:szCs w:val="32"/>
          <w:highlight w:val="none"/>
        </w:rPr>
        <w:t>，相关材料归入个人人事档案。</w:t>
      </w:r>
      <w:r>
        <w:rPr>
          <w:rFonts w:hint="eastAsia" w:ascii="仿宋_GB2312" w:hAnsi="仿宋_GB2312" w:eastAsia="仿宋_GB2312" w:cs="仿宋_GB2312"/>
          <w:sz w:val="32"/>
          <w:szCs w:val="32"/>
          <w:highlight w:val="none"/>
          <w:lang w:val="en-US" w:eastAsia="zh-CN"/>
        </w:rPr>
        <w:t>学校根据岗位职数及岗位聘任有关规定进行择优聘任。</w:t>
      </w:r>
    </w:p>
    <w:p>
      <w:pPr>
        <w:pageBreakBefore w:val="0"/>
        <w:numPr>
          <w:ilvl w:val="0"/>
          <w:numId w:val="0"/>
        </w:numPr>
        <w:kinsoku/>
        <w:wordWrap/>
        <w:overflowPunct/>
        <w:topLinePunct w:val="0"/>
        <w:autoSpaceDE/>
        <w:autoSpaceDN/>
        <w:bidi w:val="0"/>
        <w:spacing w:line="560" w:lineRule="exact"/>
        <w:ind w:firstLine="640" w:firstLineChars="200"/>
        <w:textAlignment w:val="auto"/>
        <w:rPr>
          <w:rFonts w:hint="eastAsia" w:ascii="黑体" w:hAnsi="黑体" w:eastAsia="黑体" w:cs="黑体"/>
          <w:sz w:val="32"/>
          <w:szCs w:val="32"/>
          <w:highlight w:val="none"/>
        </w:rPr>
      </w:pPr>
      <w:r>
        <w:rPr>
          <w:rFonts w:hint="eastAsia" w:ascii="黑体" w:hAnsi="黑体" w:eastAsia="黑体" w:cs="黑体"/>
          <w:sz w:val="32"/>
          <w:szCs w:val="32"/>
          <w:highlight w:val="none"/>
          <w:lang w:val="en-US" w:eastAsia="zh-CN"/>
        </w:rPr>
        <w:t>十、</w:t>
      </w:r>
      <w:r>
        <w:rPr>
          <w:rFonts w:hint="eastAsia" w:ascii="黑体" w:hAnsi="黑体" w:eastAsia="黑体" w:cs="黑体"/>
          <w:sz w:val="32"/>
          <w:szCs w:val="32"/>
          <w:highlight w:val="none"/>
        </w:rPr>
        <w:t>纪律监督</w:t>
      </w:r>
    </w:p>
    <w:p>
      <w:pPr>
        <w:pageBreakBefore w:val="0"/>
        <w:numPr>
          <w:ilvl w:val="0"/>
          <w:numId w:val="0"/>
        </w:numPr>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楷体_GB2312" w:hAnsi="楷体_GB2312" w:eastAsia="楷体_GB2312" w:cs="楷体_GB2312"/>
          <w:sz w:val="32"/>
          <w:szCs w:val="32"/>
          <w:highlight w:val="none"/>
          <w:lang w:val="en-US" w:eastAsia="zh-CN"/>
        </w:rPr>
        <w:t>（一）建立职称评审诚信档案。</w:t>
      </w:r>
      <w:r>
        <w:rPr>
          <w:rFonts w:hint="eastAsia" w:ascii="仿宋_GB2312" w:hAnsi="仿宋_GB2312" w:eastAsia="仿宋_GB2312" w:cs="仿宋_GB2312"/>
          <w:sz w:val="32"/>
          <w:szCs w:val="32"/>
          <w:highlight w:val="none"/>
          <w:lang w:val="en-US" w:eastAsia="zh-CN"/>
        </w:rPr>
        <w:t>申报人、评审推荐小组所在二级学院（部门）</w:t>
      </w:r>
      <w:r>
        <w:rPr>
          <w:rFonts w:hint="eastAsia" w:ascii="仿宋_GB2312" w:hAnsi="仿宋_GB2312" w:eastAsia="仿宋_GB2312" w:cs="仿宋_GB2312"/>
          <w:sz w:val="32"/>
          <w:szCs w:val="32"/>
          <w:highlight w:val="none"/>
        </w:rPr>
        <w:t>、评审专家须签署诚信承诺书，于评审工作结束后与《专业技术资格评审表》一并归档备案。</w:t>
      </w:r>
      <w:r>
        <w:rPr>
          <w:rFonts w:hint="eastAsia" w:ascii="仿宋_GB2312" w:hAnsi="仿宋_GB2312" w:eastAsia="仿宋_GB2312" w:cs="仿宋_GB2312"/>
          <w:sz w:val="32"/>
          <w:szCs w:val="32"/>
          <w:highlight w:val="none"/>
          <w:lang w:val="en-US" w:eastAsia="zh-CN"/>
        </w:rPr>
        <w:t>申报人</w:t>
      </w:r>
      <w:r>
        <w:rPr>
          <w:rFonts w:hint="eastAsia" w:ascii="仿宋_GB2312" w:hAnsi="仿宋_GB2312" w:eastAsia="仿宋_GB2312" w:cs="仿宋_GB2312"/>
          <w:sz w:val="32"/>
          <w:szCs w:val="32"/>
          <w:highlight w:val="none"/>
        </w:rPr>
        <w:t>出现违规违纪情况的，经调查核实，按照职称管理权限和人事隶属关系，记入职称申报评审诚信档案，记录期间取消相应资格。</w:t>
      </w:r>
    </w:p>
    <w:p>
      <w:pPr>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rPr>
        <w:t>申报人提供虚假申报材料、隐瞒被处分处理等相关情况的，</w:t>
      </w:r>
      <w:r>
        <w:rPr>
          <w:rFonts w:hint="eastAsia" w:ascii="仿宋_GB2312" w:hAnsi="仿宋_GB2312" w:eastAsia="仿宋_GB2312" w:cs="仿宋_GB2312"/>
          <w:sz w:val="32"/>
          <w:szCs w:val="32"/>
          <w:highlight w:val="none"/>
          <w:lang w:val="en-US" w:eastAsia="zh-CN"/>
        </w:rPr>
        <w:t>学校将</w:t>
      </w:r>
      <w:r>
        <w:rPr>
          <w:rFonts w:hint="eastAsia" w:ascii="仿宋_GB2312" w:hAnsi="仿宋_GB2312" w:eastAsia="仿宋_GB2312" w:cs="仿宋_GB2312"/>
          <w:sz w:val="32"/>
          <w:szCs w:val="32"/>
          <w:highlight w:val="none"/>
        </w:rPr>
        <w:t>取消其职称申报资格；通过提供虚假材料、抄袭、剽窃他人作品和学术成果、不当署名或者通过其他不正当手段取得职称的，经</w:t>
      </w:r>
      <w:r>
        <w:rPr>
          <w:rFonts w:hint="eastAsia" w:ascii="仿宋_GB2312" w:hAnsi="仿宋_GB2312" w:eastAsia="仿宋_GB2312" w:cs="仿宋_GB2312"/>
          <w:sz w:val="32"/>
          <w:szCs w:val="32"/>
          <w:highlight w:val="none"/>
          <w:lang w:val="en-US" w:eastAsia="zh-CN"/>
        </w:rPr>
        <w:t>学校</w:t>
      </w:r>
      <w:r>
        <w:rPr>
          <w:rFonts w:hint="eastAsia" w:ascii="仿宋_GB2312" w:hAnsi="仿宋_GB2312" w:eastAsia="仿宋_GB2312" w:cs="仿宋_GB2312"/>
          <w:sz w:val="32"/>
          <w:szCs w:val="32"/>
          <w:highlight w:val="none"/>
        </w:rPr>
        <w:t>调查核实，按照《科研失信行为调查处理规则》等有关规定处理，按照职称管理权限，由相应人力资源社会保障部门撤销其职称，并记入职称申报评审诚信档案，纳入全国信用信息共享平台，记录期限为3年，情节严重的，在一定期限内取消职称及岗位晋升资格。</w:t>
      </w:r>
    </w:p>
    <w:p>
      <w:pPr>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申报人所在单位未依法履行审核责任，对所推荐人员的资格条件、职业道德及廉洁自律情况把关不严，审核程序不完善，由人力资源社会保障部门或</w:t>
      </w:r>
      <w:r>
        <w:rPr>
          <w:rFonts w:hint="eastAsia" w:ascii="仿宋_GB2312" w:hAnsi="仿宋_GB2312" w:eastAsia="仿宋_GB2312" w:cs="仿宋_GB2312"/>
          <w:sz w:val="32"/>
          <w:szCs w:val="32"/>
          <w:highlight w:val="none"/>
          <w:lang w:val="en-US" w:eastAsia="zh-CN"/>
        </w:rPr>
        <w:t>学校</w:t>
      </w:r>
      <w:r>
        <w:rPr>
          <w:rFonts w:hint="eastAsia" w:ascii="仿宋_GB2312" w:hAnsi="仿宋_GB2312" w:eastAsia="仿宋_GB2312" w:cs="仿宋_GB2312"/>
          <w:sz w:val="32"/>
          <w:szCs w:val="32"/>
          <w:highlight w:val="none"/>
        </w:rPr>
        <w:t>对直接负责的主管人员和直接责任人员予以批评教育，并责令采取补救措施。对伙同、帮助申报人弄虚作假取得职称的，将当事人纳入全国信用信息共享平台，记录期限3年。情节严重的，依法追究相关人员责任。</w:t>
      </w:r>
    </w:p>
    <w:p>
      <w:pPr>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评审专家违反评审工作相关纪律规定的，</w:t>
      </w:r>
      <w:r>
        <w:rPr>
          <w:rFonts w:hint="eastAsia" w:ascii="仿宋_GB2312" w:hAnsi="仿宋_GB2312" w:eastAsia="仿宋_GB2312" w:cs="仿宋_GB2312"/>
          <w:sz w:val="32"/>
          <w:szCs w:val="32"/>
          <w:highlight w:val="none"/>
          <w:lang w:val="en-US" w:eastAsia="zh-CN"/>
        </w:rPr>
        <w:t>学校将</w:t>
      </w:r>
      <w:r>
        <w:rPr>
          <w:rFonts w:hint="eastAsia" w:ascii="仿宋_GB2312" w:hAnsi="仿宋_GB2312" w:eastAsia="仿宋_GB2312" w:cs="仿宋_GB2312"/>
          <w:sz w:val="32"/>
          <w:szCs w:val="32"/>
          <w:highlight w:val="none"/>
        </w:rPr>
        <w:t>取消其评审专家资格，进行通报批评并记入职称评审诚信档案；构成犯罪的，依法追究刑事责任。</w:t>
      </w:r>
    </w:p>
    <w:p>
      <w:pPr>
        <w:pageBreakBefore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highlight w:val="none"/>
        </w:rPr>
      </w:pPr>
      <w:r>
        <w:rPr>
          <w:rFonts w:hint="eastAsia" w:ascii="楷体_GB2312" w:hAnsi="楷体_GB2312" w:eastAsia="楷体_GB2312" w:cs="楷体_GB2312"/>
          <w:sz w:val="32"/>
          <w:szCs w:val="32"/>
          <w:highlight w:val="none"/>
          <w:lang w:val="en-US" w:eastAsia="zh-CN"/>
        </w:rPr>
        <w:t>（二）回避机制。</w:t>
      </w:r>
      <w:r>
        <w:rPr>
          <w:rFonts w:hint="eastAsia" w:ascii="仿宋_GB2312" w:hAnsi="仿宋_GB2312" w:eastAsia="仿宋_GB2312" w:cs="仿宋_GB2312"/>
          <w:sz w:val="32"/>
          <w:szCs w:val="32"/>
          <w:highlight w:val="none"/>
        </w:rPr>
        <w:t>评审专家和工作人员与评审工作有利害关系或其他关系可能影响客观公正的，应当回避。</w:t>
      </w:r>
    </w:p>
    <w:p>
      <w:pPr>
        <w:pageBreakBefore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highlight w:val="none"/>
          <w:lang w:eastAsia="zh-Hans"/>
        </w:rPr>
      </w:pPr>
      <w:r>
        <w:rPr>
          <w:rFonts w:hint="eastAsia" w:ascii="楷体_GB2312" w:hAnsi="楷体_GB2312" w:eastAsia="楷体_GB2312" w:cs="楷体_GB2312"/>
          <w:sz w:val="32"/>
          <w:szCs w:val="32"/>
          <w:highlight w:val="none"/>
          <w:lang w:val="en-US" w:eastAsia="zh-CN"/>
        </w:rPr>
        <w:t>（</w:t>
      </w:r>
      <w:r>
        <w:rPr>
          <w:rFonts w:hint="eastAsia" w:ascii="楷体_GB2312" w:hAnsi="楷体_GB2312" w:eastAsia="楷体_GB2312" w:cs="楷体_GB2312"/>
          <w:sz w:val="32"/>
          <w:szCs w:val="32"/>
          <w:highlight w:val="none"/>
          <w:lang w:val="en-US" w:eastAsia="zh-Hans"/>
        </w:rPr>
        <w:t>三）纪检监督机制。</w:t>
      </w:r>
      <w:r>
        <w:rPr>
          <w:rFonts w:hint="eastAsia" w:ascii="仿宋_GB2312" w:hAnsi="仿宋_GB2312" w:eastAsia="仿宋_GB2312" w:cs="仿宋_GB2312"/>
          <w:sz w:val="32"/>
          <w:szCs w:val="32"/>
          <w:highlight w:val="none"/>
          <w:lang w:eastAsia="zh-Hans"/>
        </w:rPr>
        <w:t>邀请学校纪检监察部门对职称评审工作进行监督</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确保</w:t>
      </w:r>
      <w:r>
        <w:rPr>
          <w:rFonts w:hint="eastAsia" w:ascii="仿宋_GB2312" w:hAnsi="仿宋_GB2312" w:eastAsia="仿宋_GB2312" w:cs="仿宋_GB2312"/>
          <w:sz w:val="32"/>
          <w:szCs w:val="32"/>
          <w:highlight w:val="none"/>
          <w:lang w:val="en-US" w:eastAsia="zh-CN"/>
        </w:rPr>
        <w:t>职称评审各环节</w:t>
      </w:r>
      <w:r>
        <w:rPr>
          <w:rFonts w:hint="eastAsia" w:ascii="仿宋_GB2312" w:hAnsi="仿宋_GB2312" w:eastAsia="仿宋_GB2312" w:cs="仿宋_GB2312"/>
          <w:sz w:val="32"/>
          <w:szCs w:val="32"/>
          <w:highlight w:val="none"/>
          <w:lang w:eastAsia="zh-Hans"/>
        </w:rPr>
        <w:t>公平公正</w:t>
      </w:r>
      <w:r>
        <w:rPr>
          <w:rFonts w:ascii="仿宋_GB2312" w:hAnsi="仿宋_GB2312" w:eastAsia="仿宋_GB2312" w:cs="仿宋_GB2312"/>
          <w:sz w:val="32"/>
          <w:szCs w:val="32"/>
          <w:highlight w:val="none"/>
          <w:lang w:eastAsia="zh-Hans"/>
        </w:rPr>
        <w:t>。</w:t>
      </w:r>
    </w:p>
    <w:p>
      <w:pPr>
        <w:pageBreakBefore w:val="0"/>
        <w:kinsoku/>
        <w:wordWrap/>
        <w:overflowPunct/>
        <w:topLinePunct w:val="0"/>
        <w:autoSpaceDE/>
        <w:autoSpaceDN/>
        <w:bidi w:val="0"/>
        <w:spacing w:line="560" w:lineRule="exact"/>
        <w:ind w:firstLine="640" w:firstLineChars="200"/>
        <w:textAlignment w:val="auto"/>
        <w:rPr>
          <w:rFonts w:hint="eastAsia" w:ascii="楷体_GB2312" w:hAnsi="楷体_GB2312" w:eastAsia="楷体_GB2312" w:cs="楷体_GB2312"/>
          <w:sz w:val="32"/>
          <w:szCs w:val="32"/>
          <w:highlight w:val="none"/>
          <w:lang w:val="en-US" w:eastAsia="zh-CN"/>
        </w:rPr>
      </w:pPr>
      <w:r>
        <w:rPr>
          <w:rFonts w:hint="eastAsia" w:ascii="楷体_GB2312" w:hAnsi="楷体_GB2312" w:eastAsia="楷体_GB2312" w:cs="楷体_GB2312"/>
          <w:sz w:val="32"/>
          <w:szCs w:val="32"/>
          <w:highlight w:val="none"/>
          <w:lang w:val="en-US" w:eastAsia="zh-CN"/>
        </w:rPr>
        <w:t>（</w:t>
      </w:r>
      <w:r>
        <w:rPr>
          <w:rFonts w:hint="eastAsia" w:ascii="楷体_GB2312" w:hAnsi="楷体_GB2312" w:eastAsia="楷体_GB2312" w:cs="楷体_GB2312"/>
          <w:sz w:val="32"/>
          <w:szCs w:val="32"/>
          <w:highlight w:val="none"/>
          <w:lang w:val="en-US" w:eastAsia="zh-Hans"/>
        </w:rPr>
        <w:t>四</w:t>
      </w:r>
      <w:r>
        <w:rPr>
          <w:rFonts w:hint="eastAsia" w:ascii="楷体_GB2312" w:hAnsi="楷体_GB2312" w:eastAsia="楷体_GB2312" w:cs="楷体_GB2312"/>
          <w:sz w:val="32"/>
          <w:szCs w:val="32"/>
          <w:highlight w:val="none"/>
          <w:lang w:val="en-US" w:eastAsia="zh-CN"/>
        </w:rPr>
        <w:t>）出现下列情形之一的，在本基本标准之条件规定的任职年限基础上延迟申报。</w:t>
      </w:r>
    </w:p>
    <w:p>
      <w:pPr>
        <w:pageBreakBefore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1.任期内年度考核结果为“基本合格”或受警告处分者， 延迟1年申报；</w:t>
      </w:r>
    </w:p>
    <w:p>
      <w:pPr>
        <w:pageBreakBefore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2.任期内年度考核结果为“不合格”、未定等次或受记过以上处分者，延迟2年申报；</w:t>
      </w:r>
    </w:p>
    <w:p>
      <w:pPr>
        <w:pageBreakBefore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3.任期内有教学事故者，延迟1年申报；有重大教学事故者，延迟2年申报；</w:t>
      </w:r>
    </w:p>
    <w:p>
      <w:pPr>
        <w:pageBreakBefore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4.根据《高等学校预防和处理学术不端行为办法》（教育部40号令）文件规定，凡因有学术不端行为而受到“暂缓晋升专业技术职务资格”处分的，延迟3-5年申报；</w:t>
      </w:r>
    </w:p>
    <w:p>
      <w:pPr>
        <w:pageBreakBefore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5.出现其他师德失范行为的，按相关规定及学校规定的期限延期申报；</w:t>
      </w:r>
    </w:p>
    <w:p>
      <w:pPr>
        <w:pageBreakBefore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6.受党内纪律处分且在影响期内人员，按有关规定执行。</w:t>
      </w:r>
    </w:p>
    <w:p>
      <w:pPr>
        <w:pageBreakBefore w:val="0"/>
        <w:kinsoku/>
        <w:wordWrap/>
        <w:overflowPunct/>
        <w:topLinePunct w:val="0"/>
        <w:autoSpaceDE/>
        <w:autoSpaceDN/>
        <w:bidi w:val="0"/>
        <w:spacing w:line="560" w:lineRule="exact"/>
        <w:ind w:firstLine="640" w:firstLineChars="200"/>
        <w:textAlignment w:val="auto"/>
        <w:rPr>
          <w:rFonts w:ascii="黑体" w:hAnsi="黑体" w:eastAsia="黑体" w:cs="黑体"/>
          <w:sz w:val="32"/>
          <w:szCs w:val="32"/>
          <w:highlight w:val="none"/>
        </w:rPr>
      </w:pPr>
      <w:r>
        <w:rPr>
          <w:rFonts w:hint="eastAsia" w:ascii="黑体" w:hAnsi="黑体" w:eastAsia="黑体" w:cs="黑体"/>
          <w:sz w:val="32"/>
          <w:szCs w:val="32"/>
          <w:highlight w:val="none"/>
        </w:rPr>
        <w:t>十</w:t>
      </w:r>
      <w:r>
        <w:rPr>
          <w:rFonts w:hint="eastAsia" w:ascii="黑体" w:hAnsi="黑体" w:eastAsia="黑体" w:cs="黑体"/>
          <w:sz w:val="32"/>
          <w:szCs w:val="32"/>
          <w:highlight w:val="none"/>
          <w:lang w:val="en-US" w:eastAsia="zh-CN"/>
        </w:rPr>
        <w:t>一</w:t>
      </w:r>
      <w:r>
        <w:rPr>
          <w:rFonts w:hint="eastAsia" w:ascii="黑体" w:hAnsi="黑体" w:eastAsia="黑体" w:cs="黑体"/>
          <w:sz w:val="32"/>
          <w:szCs w:val="32"/>
          <w:highlight w:val="none"/>
        </w:rPr>
        <w:t>、评审费用</w:t>
      </w:r>
    </w:p>
    <w:p>
      <w:pPr>
        <w:pageBreakBefore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专业技术职称评审费用，按照自治区人社厅根据《关于调整专业技术资格评审与证书收费及支出的通知》（内人发〔2001〕124号）规定的标准执行。正高级320元，副高级280元，中级150元，初级100元。各单位按申报人员名单收取评审费，</w:t>
      </w:r>
      <w:r>
        <w:rPr>
          <w:rFonts w:hint="eastAsia" w:ascii="仿宋_GB2312" w:hAnsi="仿宋_GB2312" w:eastAsia="仿宋_GB2312" w:cs="仿宋_GB2312"/>
          <w:sz w:val="32"/>
          <w:szCs w:val="32"/>
          <w:highlight w:val="none"/>
          <w:lang w:eastAsia="zh-Hans"/>
        </w:rPr>
        <w:t>交至</w:t>
      </w:r>
      <w:r>
        <w:rPr>
          <w:rFonts w:hint="eastAsia" w:ascii="仿宋_GB2312" w:hAnsi="仿宋_GB2312" w:eastAsia="仿宋_GB2312" w:cs="仿宋_GB2312"/>
          <w:sz w:val="32"/>
          <w:szCs w:val="32"/>
          <w:highlight w:val="none"/>
        </w:rPr>
        <w:t>计划财务处。此项费用作为各单位职称评审工作支出。</w:t>
      </w:r>
    </w:p>
    <w:p>
      <w:pPr>
        <w:pageBreakBefore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highlight w:val="none"/>
        </w:rPr>
      </w:pPr>
      <w:r>
        <w:rPr>
          <w:rFonts w:hint="eastAsia" w:ascii="黑体" w:hAnsi="黑体" w:eastAsia="黑体" w:cs="黑体"/>
          <w:sz w:val="32"/>
          <w:szCs w:val="32"/>
          <w:highlight w:val="none"/>
        </w:rPr>
        <w:t>十</w:t>
      </w:r>
      <w:r>
        <w:rPr>
          <w:rFonts w:hint="eastAsia" w:ascii="黑体" w:hAnsi="黑体" w:eastAsia="黑体" w:cs="黑体"/>
          <w:sz w:val="32"/>
          <w:szCs w:val="32"/>
          <w:highlight w:val="none"/>
          <w:lang w:val="en-US" w:eastAsia="zh-CN"/>
        </w:rPr>
        <w:t>二</w:t>
      </w:r>
      <w:r>
        <w:rPr>
          <w:rFonts w:hint="eastAsia" w:ascii="黑体" w:hAnsi="黑体" w:eastAsia="黑体" w:cs="黑体"/>
          <w:sz w:val="32"/>
          <w:szCs w:val="32"/>
          <w:highlight w:val="none"/>
        </w:rPr>
        <w:t>、其他</w:t>
      </w:r>
    </w:p>
    <w:p>
      <w:pPr>
        <w:pageBreakBefore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highlight w:val="none"/>
        </w:rPr>
      </w:pPr>
      <w:r>
        <w:rPr>
          <w:rFonts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一</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rPr>
        <w:t>申报人员通过高一级专业技术职务评审</w:t>
      </w:r>
      <w:r>
        <w:rPr>
          <w:rFonts w:hint="eastAsia" w:ascii="仿宋_GB2312" w:hAnsi="仿宋_GB2312" w:eastAsia="仿宋_GB2312" w:cs="仿宋_GB2312"/>
          <w:sz w:val="32"/>
          <w:szCs w:val="32"/>
          <w:highlight w:val="none"/>
          <w:lang w:val="en-US" w:eastAsia="zh-CN"/>
        </w:rPr>
        <w:t>后</w:t>
      </w:r>
      <w:r>
        <w:rPr>
          <w:rFonts w:hint="eastAsia" w:ascii="仿宋_GB2312" w:hAnsi="仿宋_GB2312" w:eastAsia="仿宋_GB2312" w:cs="仿宋_GB2312"/>
          <w:sz w:val="32"/>
          <w:szCs w:val="32"/>
          <w:highlight w:val="none"/>
        </w:rPr>
        <w:t>，应为内蒙古艺术学院至少服务5年，服务期内不得申请调离</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如确需申请调离需按照本人签订的“个人诚信承诺书”规定的金额缴纳事业损失费</w:t>
      </w:r>
      <w:r>
        <w:rPr>
          <w:rFonts w:hint="eastAsia" w:ascii="仿宋_GB2312" w:hAnsi="仿宋_GB2312" w:eastAsia="仿宋_GB2312" w:cs="仿宋_GB2312"/>
          <w:sz w:val="32"/>
          <w:szCs w:val="32"/>
          <w:highlight w:val="none"/>
        </w:rPr>
        <w:t>。</w:t>
      </w:r>
    </w:p>
    <w:p>
      <w:pPr>
        <w:pageBreakBefore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二</w:t>
      </w:r>
      <w:r>
        <w:rPr>
          <w:rFonts w:hint="eastAsia" w:ascii="仿宋_GB2312" w:hAnsi="仿宋_GB2312" w:eastAsia="仿宋_GB2312" w:cs="仿宋_GB2312"/>
          <w:sz w:val="32"/>
          <w:szCs w:val="32"/>
          <w:highlight w:val="none"/>
        </w:rPr>
        <w:t>）本办法</w:t>
      </w:r>
      <w:r>
        <w:rPr>
          <w:rFonts w:hint="eastAsia" w:ascii="仿宋_GB2312" w:hAnsi="仿宋_GB2312" w:eastAsia="仿宋_GB2312" w:cs="仿宋_GB2312"/>
          <w:sz w:val="32"/>
          <w:szCs w:val="32"/>
          <w:highlight w:val="none"/>
          <w:lang w:val="en-US" w:eastAsia="zh-CN"/>
        </w:rPr>
        <w:t>由人事处负责解释并组织实施，</w:t>
      </w:r>
      <w:r>
        <w:rPr>
          <w:rFonts w:hint="eastAsia" w:ascii="仿宋_GB2312" w:hAnsi="仿宋_GB2312" w:eastAsia="仿宋_GB2312" w:cs="仿宋_GB2312"/>
          <w:sz w:val="32"/>
          <w:szCs w:val="32"/>
          <w:highlight w:val="none"/>
        </w:rPr>
        <w:t>未尽事宜按照国家、自治区和学校的有关规定执行。</w:t>
      </w: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pStyle w:val="7"/>
        <w:keepNext/>
        <w:keepLines/>
        <w:pageBreakBefore w:val="0"/>
        <w:kinsoku/>
        <w:wordWrap/>
        <w:overflowPunct/>
        <w:topLinePunct w:val="0"/>
        <w:autoSpaceDE/>
        <w:autoSpaceDN/>
        <w:bidi w:val="0"/>
        <w:spacing w:before="0" w:after="300" w:line="560" w:lineRule="exact"/>
        <w:jc w:val="both"/>
        <w:textAlignment w:val="auto"/>
        <w:rPr>
          <w:rFonts w:hint="eastAsia" w:ascii="黑体" w:hAnsi="黑体" w:eastAsia="黑体" w:cs="黑体"/>
          <w:color w:val="000000"/>
          <w:sz w:val="32"/>
          <w:szCs w:val="32"/>
          <w:highlight w:val="none"/>
          <w:lang w:val="en-US" w:eastAsia="zh-CN" w:bidi="ar-SA"/>
        </w:rPr>
      </w:pPr>
      <w:r>
        <w:rPr>
          <w:rFonts w:hint="eastAsia" w:ascii="黑体" w:hAnsi="黑体" w:eastAsia="黑体" w:cs="黑体"/>
          <w:color w:val="000000"/>
          <w:sz w:val="32"/>
          <w:szCs w:val="32"/>
          <w:highlight w:val="none"/>
          <w:lang w:val="en-US" w:eastAsia="zh-Hans" w:bidi="ar-SA"/>
        </w:rPr>
        <w:t>附件</w:t>
      </w:r>
      <w:r>
        <w:rPr>
          <w:rFonts w:hint="eastAsia" w:ascii="黑体" w:hAnsi="黑体" w:eastAsia="黑体" w:cs="黑体"/>
          <w:color w:val="000000"/>
          <w:sz w:val="32"/>
          <w:szCs w:val="32"/>
          <w:highlight w:val="none"/>
          <w:lang w:val="en-US" w:eastAsia="zh-CN" w:bidi="ar-SA"/>
        </w:rPr>
        <w:t>1</w:t>
      </w:r>
      <w:r>
        <w:rPr>
          <w:rFonts w:hint="eastAsia" w:ascii="黑体" w:hAnsi="黑体" w:eastAsia="黑体" w:cs="黑体"/>
          <w:color w:val="000000"/>
          <w:sz w:val="32"/>
          <w:szCs w:val="32"/>
          <w:highlight w:val="none"/>
          <w:lang w:eastAsia="zh-Hans" w:bidi="ar-SA"/>
        </w:rPr>
        <w:t xml:space="preserve">  </w:t>
      </w:r>
      <w:r>
        <w:rPr>
          <w:rFonts w:hint="eastAsia" w:ascii="黑体" w:hAnsi="黑体" w:eastAsia="黑体" w:cs="黑体"/>
          <w:color w:val="000000"/>
          <w:sz w:val="32"/>
          <w:szCs w:val="32"/>
          <w:highlight w:val="none"/>
          <w:lang w:val="en-US" w:eastAsia="zh-CN" w:bidi="ar-SA"/>
        </w:rPr>
        <w:t xml:space="preserve">   </w:t>
      </w:r>
    </w:p>
    <w:p>
      <w:pPr>
        <w:pStyle w:val="7"/>
        <w:keepNext/>
        <w:keepLines/>
        <w:pageBreakBefore w:val="0"/>
        <w:kinsoku/>
        <w:wordWrap/>
        <w:overflowPunct/>
        <w:topLinePunct w:val="0"/>
        <w:autoSpaceDE/>
        <w:autoSpaceDN/>
        <w:bidi w:val="0"/>
        <w:spacing w:before="0" w:after="300" w:line="560" w:lineRule="exact"/>
        <w:jc w:val="center"/>
        <w:textAlignment w:val="auto"/>
        <w:rPr>
          <w:rFonts w:hint="eastAsia" w:ascii="黑体" w:hAnsi="黑体" w:eastAsia="黑体" w:cs="黑体"/>
          <w:b w:val="0"/>
          <w:bCs w:val="0"/>
          <w:sz w:val="44"/>
          <w:szCs w:val="44"/>
          <w:highlight w:val="none"/>
          <w:lang w:val="en-US" w:eastAsia="zh-Hans" w:bidi="ar-SA"/>
        </w:rPr>
      </w:pPr>
      <w:r>
        <w:rPr>
          <w:rFonts w:hint="eastAsia" w:ascii="方正小标宋简体" w:hAnsi="方正小标宋简体" w:eastAsia="方正小标宋简体" w:cs="方正小标宋简体"/>
          <w:b w:val="0"/>
          <w:bCs w:val="0"/>
          <w:sz w:val="44"/>
          <w:szCs w:val="44"/>
          <w:highlight w:val="none"/>
          <w:lang w:val="en-US" w:eastAsia="zh-Hans" w:bidi="ar-SA"/>
        </w:rPr>
        <w:t>高校教师系列职称评审业绩成果条件</w:t>
      </w:r>
    </w:p>
    <w:p>
      <w:pPr>
        <w:pStyle w:val="7"/>
        <w:keepNext/>
        <w:keepLines/>
        <w:pageBreakBefore w:val="0"/>
        <w:widowControl w:val="0"/>
        <w:numPr>
          <w:ilvl w:val="0"/>
          <w:numId w:val="0"/>
        </w:numPr>
        <w:shd w:val="clear" w:color="auto" w:fill="auto"/>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sz w:val="32"/>
          <w:szCs w:val="32"/>
          <w:highlight w:val="none"/>
          <w:lang w:val="en-US" w:eastAsia="zh-Hans" w:bidi="ar-SA"/>
        </w:rPr>
      </w:pPr>
      <w:r>
        <w:rPr>
          <w:rFonts w:hint="eastAsia" w:ascii="仿宋_GB2312" w:hAnsi="仿宋_GB2312" w:eastAsia="仿宋_GB2312" w:cs="仿宋_GB2312"/>
          <w:sz w:val="32"/>
          <w:szCs w:val="32"/>
          <w:highlight w:val="none"/>
          <w:lang w:val="en-US" w:eastAsia="zh-Hans" w:bidi="ar-SA"/>
        </w:rPr>
        <w:t>本</w:t>
      </w:r>
      <w:r>
        <w:rPr>
          <w:rFonts w:hint="eastAsia" w:ascii="仿宋_GB2312" w:hAnsi="仿宋_GB2312" w:eastAsia="仿宋_GB2312" w:cs="仿宋_GB2312"/>
          <w:sz w:val="32"/>
          <w:szCs w:val="32"/>
          <w:highlight w:val="none"/>
          <w:lang w:val="en-US" w:eastAsia="zh-CN" w:bidi="ar-SA"/>
        </w:rPr>
        <w:t>条件</w:t>
      </w:r>
      <w:r>
        <w:rPr>
          <w:rFonts w:hint="eastAsia" w:ascii="仿宋_GB2312" w:hAnsi="仿宋_GB2312" w:eastAsia="仿宋_GB2312" w:cs="仿宋_GB2312"/>
          <w:sz w:val="32"/>
          <w:szCs w:val="32"/>
          <w:highlight w:val="none"/>
          <w:lang w:val="en-US" w:eastAsia="zh-Hans" w:bidi="ar-SA"/>
        </w:rPr>
        <w:t>所称“以上”，除有特别标明外，均含本级、本数。</w:t>
      </w:r>
    </w:p>
    <w:p>
      <w:pPr>
        <w:pStyle w:val="7"/>
        <w:keepNext/>
        <w:keepLines/>
        <w:pageBreakBefore w:val="0"/>
        <w:widowControl w:val="0"/>
        <w:numPr>
          <w:ilvl w:val="0"/>
          <w:numId w:val="2"/>
        </w:numPr>
        <w:kinsoku/>
        <w:wordWrap/>
        <w:overflowPunct/>
        <w:topLinePunct w:val="0"/>
        <w:autoSpaceDE/>
        <w:autoSpaceDN/>
        <w:bidi w:val="0"/>
        <w:adjustRightInd/>
        <w:snapToGrid/>
        <w:spacing w:before="0" w:after="0" w:line="560" w:lineRule="exact"/>
        <w:ind w:firstLine="643" w:firstLineChars="200"/>
        <w:jc w:val="both"/>
        <w:textAlignment w:val="auto"/>
        <w:rPr>
          <w:rFonts w:hint="eastAsia" w:ascii="仿宋_GB2312" w:hAnsi="仿宋_GB2312" w:eastAsia="仿宋_GB2312" w:cs="仿宋_GB2312"/>
          <w:color w:val="000000"/>
          <w:kern w:val="0"/>
          <w:sz w:val="32"/>
          <w:szCs w:val="32"/>
          <w:highlight w:val="none"/>
          <w:lang w:eastAsia="zh-CN"/>
        </w:rPr>
      </w:pPr>
      <w:r>
        <w:rPr>
          <w:rFonts w:hint="eastAsia" w:ascii="仿宋_GB2312" w:hAnsi="仿宋_GB2312" w:eastAsia="仿宋_GB2312" w:cs="仿宋_GB2312"/>
          <w:b/>
          <w:bCs/>
          <w:kern w:val="0"/>
          <w:sz w:val="32"/>
          <w:szCs w:val="32"/>
          <w:highlight w:val="none"/>
          <w:lang w:eastAsia="zh-CN"/>
        </w:rPr>
        <w:t>实践经验与工作能力</w:t>
      </w:r>
      <w:r>
        <w:rPr>
          <w:rFonts w:hint="eastAsia" w:ascii="仿宋_GB2312" w:hAnsi="仿宋_GB2312" w:eastAsia="仿宋_GB2312" w:cs="仿宋_GB2312"/>
          <w:kern w:val="0"/>
          <w:sz w:val="32"/>
          <w:szCs w:val="32"/>
          <w:highlight w:val="none"/>
          <w:lang w:eastAsia="zh-CN"/>
        </w:rPr>
        <w:br w:type="textWrapping"/>
      </w:r>
      <w:r>
        <w:rPr>
          <w:rFonts w:hint="eastAsia" w:ascii="仿宋_GB2312" w:hAnsi="仿宋_GB2312" w:eastAsia="仿宋_GB2312" w:cs="仿宋_GB2312"/>
          <w:kern w:val="0"/>
          <w:sz w:val="32"/>
          <w:szCs w:val="32"/>
          <w:highlight w:val="none"/>
          <w:lang w:eastAsia="zh-CN"/>
        </w:rPr>
        <w:t>　　</w:t>
      </w:r>
      <w:r>
        <w:rPr>
          <w:rFonts w:hint="eastAsia" w:ascii="仿宋_GB2312" w:hAnsi="仿宋_GB2312" w:eastAsia="仿宋_GB2312" w:cs="仿宋_GB2312"/>
          <w:sz w:val="32"/>
          <w:szCs w:val="32"/>
          <w:highlight w:val="none"/>
          <w:lang w:val="en-US" w:eastAsia="zh-Hans" w:bidi="ar-SA"/>
        </w:rPr>
        <w:t>能胜任专业基础课或公共通识课的讲授工作，完成相应的教学工作量，且教学</w:t>
      </w:r>
      <w:r>
        <w:rPr>
          <w:rFonts w:hint="eastAsia" w:ascii="仿宋_GB2312" w:hAnsi="仿宋_GB2312" w:eastAsia="仿宋_GB2312" w:cs="仿宋_GB2312"/>
          <w:color w:val="000000"/>
          <w:sz w:val="32"/>
          <w:szCs w:val="32"/>
          <w:highlight w:val="none"/>
          <w:lang w:val="en-US" w:eastAsia="zh-Hans" w:bidi="ar-SA"/>
        </w:rPr>
        <w:t>效果好，学校教学督导人员、所在院（系）教授委员会和所教学生综合评价良好。</w:t>
      </w:r>
      <w:r>
        <w:rPr>
          <w:rFonts w:hint="eastAsia" w:ascii="仿宋_GB2312" w:hAnsi="仿宋_GB2312" w:eastAsia="仿宋_GB2312" w:cs="仿宋_GB2312"/>
          <w:color w:val="000000"/>
          <w:sz w:val="32"/>
          <w:szCs w:val="32"/>
          <w:highlight w:val="none"/>
          <w:lang w:val="en-US" w:eastAsia="zh-CN" w:bidi="ar-SA"/>
        </w:rPr>
        <w:t>申报高级职称人员还需</w:t>
      </w:r>
      <w:r>
        <w:rPr>
          <w:rFonts w:hint="eastAsia" w:ascii="仿宋_GB2312" w:hAnsi="仿宋_GB2312" w:eastAsia="仿宋_GB2312" w:cs="仿宋_GB2312"/>
          <w:color w:val="000000"/>
          <w:sz w:val="32"/>
          <w:szCs w:val="32"/>
          <w:highlight w:val="none"/>
          <w:lang w:val="en-US" w:eastAsia="zh-Hans" w:bidi="ar-SA"/>
        </w:rPr>
        <w:t>具备指导青年教师或硕士研究生的能力。</w:t>
      </w:r>
      <w:r>
        <w:rPr>
          <w:rFonts w:hint="eastAsia" w:ascii="仿宋_GB2312" w:hAnsi="仿宋_GB2312" w:eastAsia="仿宋_GB2312" w:cs="仿宋_GB2312"/>
          <w:color w:val="000000"/>
          <w:sz w:val="32"/>
          <w:szCs w:val="32"/>
          <w:highlight w:val="none"/>
          <w:lang w:val="en-US" w:eastAsia="zh-Hans" w:bidi="ar-SA"/>
        </w:rPr>
        <w:br w:type="textWrapping"/>
      </w:r>
      <w:r>
        <w:rPr>
          <w:rFonts w:hint="eastAsia" w:ascii="仿宋_GB2312" w:hAnsi="仿宋_GB2312" w:eastAsia="仿宋_GB2312" w:cs="仿宋_GB2312"/>
          <w:color w:val="000000"/>
          <w:sz w:val="32"/>
          <w:szCs w:val="32"/>
          <w:highlight w:val="none"/>
          <w:lang w:val="en-US" w:eastAsia="zh-Hans" w:bidi="ar-SA"/>
        </w:rPr>
        <w:t>　　</w:t>
      </w:r>
      <w:r>
        <w:rPr>
          <w:rFonts w:hint="eastAsia" w:ascii="仿宋_GB2312" w:hAnsi="仿宋_GB2312" w:eastAsia="仿宋_GB2312" w:cs="仿宋_GB2312"/>
          <w:b/>
          <w:bCs/>
          <w:color w:val="000000"/>
          <w:kern w:val="0"/>
          <w:sz w:val="32"/>
          <w:szCs w:val="32"/>
          <w:highlight w:val="none"/>
          <w:lang w:eastAsia="zh-CN"/>
        </w:rPr>
        <w:t>第二条 业绩成果</w:t>
      </w:r>
      <w:r>
        <w:rPr>
          <w:rFonts w:hint="eastAsia" w:ascii="仿宋_GB2312" w:hAnsi="仿宋_GB2312" w:eastAsia="仿宋_GB2312" w:cs="仿宋_GB2312"/>
          <w:b/>
          <w:bCs/>
          <w:color w:val="000000"/>
          <w:kern w:val="0"/>
          <w:sz w:val="32"/>
          <w:szCs w:val="32"/>
          <w:highlight w:val="none"/>
          <w:lang w:eastAsia="zh-CN"/>
        </w:rPr>
        <w:br w:type="textWrapping"/>
      </w:r>
      <w:r>
        <w:rPr>
          <w:rFonts w:hint="eastAsia" w:ascii="仿宋_GB2312" w:hAnsi="仿宋_GB2312" w:eastAsia="仿宋_GB2312" w:cs="仿宋_GB2312"/>
          <w:color w:val="000000"/>
          <w:kern w:val="0"/>
          <w:sz w:val="32"/>
          <w:szCs w:val="32"/>
          <w:highlight w:val="none"/>
          <w:lang w:eastAsia="zh-CN"/>
        </w:rPr>
        <w:t>　　</w:t>
      </w:r>
      <w:r>
        <w:rPr>
          <w:rFonts w:hint="eastAsia" w:ascii="黑体" w:hAnsi="黑体" w:eastAsia="黑体" w:cs="黑体"/>
          <w:b w:val="0"/>
          <w:bCs w:val="0"/>
          <w:color w:val="000000"/>
          <w:kern w:val="0"/>
          <w:sz w:val="32"/>
          <w:szCs w:val="32"/>
          <w:highlight w:val="none"/>
          <w:lang w:val="en-US" w:eastAsia="zh-CN"/>
        </w:rPr>
        <w:t>一、</w:t>
      </w:r>
      <w:r>
        <w:rPr>
          <w:rFonts w:hint="eastAsia" w:ascii="黑体" w:hAnsi="黑体" w:eastAsia="黑体" w:cs="黑体"/>
          <w:b w:val="0"/>
          <w:bCs w:val="0"/>
          <w:color w:val="000000"/>
          <w:kern w:val="0"/>
          <w:sz w:val="32"/>
          <w:szCs w:val="32"/>
          <w:highlight w:val="none"/>
          <w:lang w:eastAsia="zh-CN"/>
        </w:rPr>
        <w:t>申报教授资格</w:t>
      </w:r>
      <w:r>
        <w:rPr>
          <w:rFonts w:hint="eastAsia" w:ascii="方正楷体_GB2312" w:hAnsi="方正楷体_GB2312" w:eastAsia="方正楷体_GB2312" w:cs="方正楷体_GB2312"/>
          <w:b/>
          <w:bCs/>
          <w:color w:val="000000"/>
          <w:kern w:val="0"/>
          <w:sz w:val="32"/>
          <w:szCs w:val="32"/>
          <w:highlight w:val="none"/>
          <w:lang w:eastAsia="zh-CN"/>
        </w:rPr>
        <w:br w:type="textWrapping"/>
      </w:r>
      <w:r>
        <w:rPr>
          <w:rFonts w:hint="eastAsia" w:ascii="仿宋_GB2312" w:hAnsi="仿宋_GB2312" w:eastAsia="仿宋_GB2312" w:cs="仿宋_GB2312"/>
          <w:color w:val="000000"/>
          <w:kern w:val="0"/>
          <w:sz w:val="32"/>
          <w:szCs w:val="32"/>
          <w:highlight w:val="none"/>
          <w:lang w:eastAsia="zh-CN"/>
        </w:rPr>
        <w:t xml:space="preserve">    </w:t>
      </w:r>
      <w:r>
        <w:rPr>
          <w:rFonts w:hint="eastAsia" w:ascii="仿宋_GB2312" w:hAnsi="仿宋_GB2312" w:eastAsia="仿宋_GB2312" w:cs="仿宋_GB2312"/>
          <w:color w:val="000000"/>
          <w:kern w:val="0"/>
          <w:sz w:val="32"/>
          <w:szCs w:val="32"/>
          <w:highlight w:val="none"/>
          <w:lang w:val="en-US" w:eastAsia="zh-CN"/>
        </w:rPr>
        <w:t>受聘</w:t>
      </w:r>
      <w:r>
        <w:rPr>
          <w:rFonts w:hint="eastAsia" w:ascii="仿宋_GB2312" w:hAnsi="仿宋_GB2312" w:eastAsia="仿宋_GB2312" w:cs="仿宋_GB2312"/>
          <w:color w:val="000000"/>
          <w:kern w:val="0"/>
          <w:sz w:val="32"/>
          <w:szCs w:val="32"/>
          <w:highlight w:val="none"/>
          <w:lang w:eastAsia="zh-CN"/>
        </w:rPr>
        <w:t>副教授资格以来，应具备下列条件之三条，其中（</w:t>
      </w:r>
      <w:r>
        <w:rPr>
          <w:rFonts w:hint="eastAsia" w:ascii="仿宋_GB2312" w:hAnsi="仿宋_GB2312" w:eastAsia="仿宋_GB2312" w:cs="仿宋_GB2312"/>
          <w:color w:val="000000"/>
          <w:kern w:val="0"/>
          <w:sz w:val="32"/>
          <w:szCs w:val="32"/>
          <w:highlight w:val="none"/>
          <w:lang w:val="en-US" w:eastAsia="zh-CN"/>
        </w:rPr>
        <w:t>一</w:t>
      </w: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lang w:val="en-US" w:eastAsia="zh-CN"/>
        </w:rPr>
        <w:t>二</w:t>
      </w:r>
      <w:r>
        <w:rPr>
          <w:rFonts w:hint="eastAsia" w:ascii="仿宋_GB2312" w:hAnsi="仿宋_GB2312" w:eastAsia="仿宋_GB2312" w:cs="仿宋_GB2312"/>
          <w:color w:val="000000"/>
          <w:kern w:val="0"/>
          <w:sz w:val="32"/>
          <w:szCs w:val="32"/>
          <w:highlight w:val="none"/>
          <w:lang w:eastAsia="zh-CN"/>
        </w:rPr>
        <w:t>）条是必备条件：</w:t>
      </w:r>
    </w:p>
    <w:p>
      <w:pPr>
        <w:pStyle w:val="7"/>
        <w:keepNext/>
        <w:keepLines/>
        <w:pageBreakBefore w:val="0"/>
        <w:widowControl w:val="0"/>
        <w:numPr>
          <w:ilvl w:val="0"/>
          <w:numId w:val="0"/>
        </w:numPr>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color w:val="0070C0"/>
          <w:sz w:val="32"/>
          <w:szCs w:val="32"/>
          <w:highlight w:val="none"/>
          <w:lang w:val="en-US" w:eastAsia="zh-Hans" w:bidi="ar-SA"/>
        </w:rPr>
      </w:pPr>
      <w:r>
        <w:rPr>
          <w:rFonts w:hint="eastAsia" w:ascii="方正楷体_GB2312" w:hAnsi="方正楷体_GB2312" w:eastAsia="方正楷体_GB2312" w:cs="方正楷体_GB2312"/>
          <w:color w:val="000000"/>
          <w:sz w:val="32"/>
          <w:szCs w:val="32"/>
          <w:highlight w:val="none"/>
          <w:lang w:val="en-US" w:eastAsia="zh-CN" w:bidi="ar-SA"/>
        </w:rPr>
        <w:t>（一）</w:t>
      </w:r>
      <w:r>
        <w:rPr>
          <w:rFonts w:hint="eastAsia" w:ascii="方正楷体_GB2312" w:hAnsi="方正楷体_GB2312" w:eastAsia="方正楷体_GB2312" w:cs="方正楷体_GB2312"/>
          <w:color w:val="000000"/>
          <w:sz w:val="32"/>
          <w:szCs w:val="32"/>
          <w:highlight w:val="none"/>
          <w:lang w:val="en-US" w:eastAsia="zh-Hans" w:bidi="ar-SA"/>
        </w:rPr>
        <w:t>论文</w:t>
      </w:r>
      <w:r>
        <w:rPr>
          <w:rFonts w:hint="eastAsia" w:ascii="仿宋_GB2312" w:hAnsi="仿宋_GB2312" w:eastAsia="仿宋_GB2312" w:cs="仿宋_GB2312"/>
          <w:color w:val="000000"/>
          <w:sz w:val="32"/>
          <w:szCs w:val="32"/>
          <w:highlight w:val="none"/>
          <w:lang w:val="en-US" w:eastAsia="zh-Hans" w:bidi="ar-SA"/>
        </w:rPr>
        <w:br w:type="textWrapping"/>
      </w:r>
      <w:r>
        <w:rPr>
          <w:rFonts w:hint="eastAsia" w:ascii="仿宋_GB2312" w:hAnsi="仿宋_GB2312" w:eastAsia="仿宋_GB2312" w:cs="仿宋_GB2312"/>
          <w:color w:val="000000"/>
          <w:sz w:val="32"/>
          <w:szCs w:val="32"/>
          <w:highlight w:val="none"/>
          <w:lang w:eastAsia="zh-Hans" w:bidi="ar-SA"/>
        </w:rPr>
        <w:t xml:space="preserve">    </w:t>
      </w:r>
      <w:r>
        <w:rPr>
          <w:rFonts w:hint="eastAsia" w:ascii="仿宋_GB2312" w:hAnsi="仿宋_GB2312" w:eastAsia="仿宋_GB2312" w:cs="仿宋_GB2312"/>
          <w:sz w:val="32"/>
          <w:szCs w:val="32"/>
          <w:highlight w:val="none"/>
          <w:lang w:val="en-US" w:eastAsia="zh-Hans" w:bidi="ar-SA"/>
        </w:rPr>
        <w:t>在公开发行的</w:t>
      </w:r>
      <w:r>
        <w:rPr>
          <w:rFonts w:hint="eastAsia" w:ascii="仿宋_GB2312" w:hAnsi="仿宋_GB2312" w:eastAsia="仿宋_GB2312" w:cs="仿宋_GB2312"/>
          <w:sz w:val="32"/>
          <w:szCs w:val="32"/>
          <w:highlight w:val="none"/>
          <w:lang w:val="en-US" w:eastAsia="zh-CN" w:bidi="ar-SA"/>
        </w:rPr>
        <w:t>期刊上</w:t>
      </w:r>
      <w:r>
        <w:rPr>
          <w:rFonts w:hint="eastAsia" w:ascii="仿宋_GB2312" w:hAnsi="仿宋_GB2312" w:eastAsia="仿宋_GB2312" w:cs="仿宋_GB2312"/>
          <w:sz w:val="32"/>
          <w:szCs w:val="32"/>
          <w:highlight w:val="none"/>
          <w:lang w:val="en-US" w:eastAsia="zh-Hans" w:bidi="ar-SA"/>
        </w:rPr>
        <w:t>发表研究报告、论文至少3篇，注重考察论文的质量、贡献与影响。</w:t>
      </w:r>
    </w:p>
    <w:p>
      <w:pPr>
        <w:pStyle w:val="7"/>
        <w:keepNext/>
        <w:keepLines/>
        <w:pageBreakBefore w:val="0"/>
        <w:widowControl w:val="0"/>
        <w:numPr>
          <w:ilvl w:val="0"/>
          <w:numId w:val="0"/>
        </w:numPr>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eastAsia" w:ascii="仿宋_GB2312" w:hAnsi="仿宋_GB2312" w:eastAsia="仿宋_GB2312" w:cs="仿宋_GB2312"/>
          <w:color w:val="0070C0"/>
          <w:sz w:val="32"/>
          <w:szCs w:val="32"/>
          <w:highlight w:val="none"/>
          <w:lang w:val="en-US" w:eastAsia="zh-Hans" w:bidi="ar-SA"/>
        </w:rPr>
      </w:pPr>
      <w:r>
        <w:rPr>
          <w:rFonts w:hint="eastAsia" w:ascii="方正楷体_GB2312" w:hAnsi="方正楷体_GB2312" w:eastAsia="方正楷体_GB2312" w:cs="方正楷体_GB2312"/>
          <w:color w:val="000000"/>
          <w:sz w:val="32"/>
          <w:szCs w:val="32"/>
          <w:highlight w:val="none"/>
          <w:lang w:val="en-US" w:eastAsia="zh-CN" w:bidi="ar-SA"/>
        </w:rPr>
        <w:t>（二）项目</w:t>
      </w:r>
      <w:r>
        <w:rPr>
          <w:rFonts w:hint="eastAsia" w:ascii="仿宋_GB2312" w:hAnsi="仿宋_GB2312" w:eastAsia="仿宋_GB2312" w:cs="仿宋_GB2312"/>
          <w:color w:val="000000"/>
          <w:kern w:val="0"/>
          <w:sz w:val="32"/>
          <w:szCs w:val="32"/>
          <w:highlight w:val="none"/>
          <w:lang w:eastAsia="zh-CN"/>
        </w:rPr>
        <w:br w:type="textWrapping"/>
      </w:r>
      <w:r>
        <w:rPr>
          <w:rFonts w:hint="eastAsia" w:ascii="仿宋_GB2312" w:hAnsi="仿宋_GB2312" w:eastAsia="仿宋_GB2312" w:cs="仿宋_GB2312"/>
          <w:color w:val="000000"/>
          <w:kern w:val="0"/>
          <w:sz w:val="32"/>
          <w:szCs w:val="32"/>
          <w:highlight w:val="none"/>
          <w:lang w:eastAsia="zh-CN"/>
        </w:rPr>
        <w:t>　　主持、参与国家级科研项目（前5名），或主持</w:t>
      </w:r>
      <w:r>
        <w:rPr>
          <w:rFonts w:hint="eastAsia" w:ascii="仿宋_GB2312" w:hAnsi="仿宋_GB2312" w:eastAsia="仿宋_GB2312" w:cs="仿宋_GB2312"/>
          <w:color w:val="000000"/>
          <w:kern w:val="0"/>
          <w:sz w:val="32"/>
          <w:szCs w:val="32"/>
          <w:highlight w:val="none"/>
          <w:lang w:val="en-US" w:eastAsia="zh-CN"/>
        </w:rPr>
        <w:t>厅局级以上</w:t>
      </w:r>
      <w:r>
        <w:rPr>
          <w:rFonts w:hint="eastAsia" w:ascii="仿宋_GB2312" w:hAnsi="仿宋_GB2312" w:eastAsia="仿宋_GB2312" w:cs="仿宋_GB2312"/>
          <w:color w:val="000000"/>
          <w:kern w:val="0"/>
          <w:sz w:val="32"/>
          <w:szCs w:val="32"/>
          <w:highlight w:val="none"/>
          <w:lang w:eastAsia="zh-CN"/>
        </w:rPr>
        <w:t>科研项目1项；或主持或以主要成员（前3名）参加省部级</w:t>
      </w:r>
      <w:r>
        <w:rPr>
          <w:rFonts w:hint="eastAsia" w:ascii="仿宋_GB2312" w:hAnsi="仿宋_GB2312" w:eastAsia="仿宋_GB2312" w:cs="仿宋_GB2312"/>
          <w:color w:val="000000"/>
          <w:kern w:val="0"/>
          <w:sz w:val="32"/>
          <w:szCs w:val="32"/>
          <w:highlight w:val="none"/>
          <w:lang w:val="en-US" w:eastAsia="zh-CN"/>
        </w:rPr>
        <w:t>教育教学改革研究与实践项目</w:t>
      </w:r>
      <w:r>
        <w:rPr>
          <w:rFonts w:hint="eastAsia" w:ascii="仿宋_GB2312" w:hAnsi="仿宋_GB2312" w:eastAsia="仿宋_GB2312" w:cs="仿宋_GB2312"/>
          <w:color w:val="000000"/>
          <w:kern w:val="0"/>
          <w:sz w:val="32"/>
          <w:szCs w:val="32"/>
          <w:highlight w:val="none"/>
          <w:lang w:eastAsia="zh-CN"/>
        </w:rPr>
        <w:t xml:space="preserve">1项；或主持的横向项目累计经费10万元及以上。 </w:t>
      </w:r>
    </w:p>
    <w:p>
      <w:pPr>
        <w:pStyle w:val="7"/>
        <w:keepNext/>
        <w:keepLines/>
        <w:pageBreakBefore w:val="0"/>
        <w:widowControl w:val="0"/>
        <w:numPr>
          <w:ilvl w:val="0"/>
          <w:numId w:val="0"/>
        </w:numPr>
        <w:shd w:val="clear" w:color="auto" w:fill="auto"/>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eastAsia" w:ascii="方正楷体_GB2312" w:hAnsi="方正楷体_GB2312" w:eastAsia="方正楷体_GB2312" w:cs="方正楷体_GB2312"/>
          <w:color w:val="000000"/>
          <w:sz w:val="32"/>
          <w:szCs w:val="32"/>
          <w:highlight w:val="none"/>
          <w:lang w:val="en-US" w:eastAsia="zh-Hans" w:bidi="ar-SA"/>
        </w:rPr>
      </w:pPr>
      <w:r>
        <w:rPr>
          <w:rFonts w:hint="eastAsia" w:ascii="方正楷体_GB2312" w:hAnsi="方正楷体_GB2312" w:eastAsia="方正楷体_GB2312" w:cs="方正楷体_GB2312"/>
          <w:color w:val="000000"/>
          <w:sz w:val="32"/>
          <w:szCs w:val="32"/>
          <w:highlight w:val="none"/>
          <w:lang w:val="en-US" w:eastAsia="zh-CN" w:bidi="ar-SA"/>
        </w:rPr>
        <w:t>（三）</w:t>
      </w:r>
      <w:r>
        <w:rPr>
          <w:rFonts w:hint="eastAsia" w:ascii="方正楷体_GB2312" w:hAnsi="方正楷体_GB2312" w:eastAsia="方正楷体_GB2312" w:cs="方正楷体_GB2312"/>
          <w:color w:val="000000"/>
          <w:sz w:val="32"/>
          <w:szCs w:val="32"/>
          <w:highlight w:val="none"/>
          <w:lang w:val="en-US" w:eastAsia="zh-Hans" w:bidi="ar-SA"/>
        </w:rPr>
        <w:t>学生培养</w:t>
      </w:r>
    </w:p>
    <w:p>
      <w:pPr>
        <w:pStyle w:val="8"/>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0"/>
          <w:sz w:val="32"/>
          <w:szCs w:val="32"/>
          <w:highlight w:val="none"/>
          <w:lang w:eastAsia="zh-CN"/>
        </w:rPr>
      </w:pPr>
      <w:r>
        <w:rPr>
          <w:rFonts w:hint="eastAsia" w:ascii="仿宋_GB2312" w:hAnsi="仿宋_GB2312" w:eastAsia="仿宋_GB2312" w:cs="仿宋_GB2312"/>
          <w:color w:val="000000"/>
          <w:kern w:val="0"/>
          <w:sz w:val="32"/>
          <w:szCs w:val="32"/>
          <w:highlight w:val="none"/>
          <w:lang w:eastAsia="zh-CN"/>
        </w:rPr>
        <w:t>作为首席指导教师直接指导的学生在</w:t>
      </w:r>
      <w:r>
        <w:rPr>
          <w:rFonts w:hint="eastAsia" w:ascii="仿宋_GB2312" w:hAnsi="仿宋_GB2312" w:eastAsia="仿宋_GB2312" w:cs="仿宋_GB2312"/>
          <w:color w:val="000000"/>
          <w:kern w:val="0"/>
          <w:sz w:val="32"/>
          <w:szCs w:val="32"/>
          <w:highlight w:val="none"/>
          <w:lang w:val="en-US" w:eastAsia="zh-CN"/>
        </w:rPr>
        <w:t>学校认定的</w:t>
      </w:r>
      <w:r>
        <w:rPr>
          <w:rFonts w:hint="eastAsia" w:ascii="仿宋_GB2312" w:hAnsi="仿宋_GB2312" w:eastAsia="仿宋_GB2312" w:cs="仿宋_GB2312"/>
          <w:color w:val="000000"/>
          <w:kern w:val="0"/>
          <w:sz w:val="32"/>
          <w:szCs w:val="32"/>
          <w:highlight w:val="none"/>
          <w:lang w:eastAsia="zh-CN"/>
        </w:rPr>
        <w:t>国家级专业比赛中</w:t>
      </w:r>
      <w:r>
        <w:rPr>
          <w:rFonts w:hint="eastAsia" w:ascii="仿宋_GB2312" w:hAnsi="仿宋_GB2312" w:eastAsia="仿宋_GB2312" w:cs="仿宋_GB2312"/>
          <w:color w:val="000000"/>
          <w:kern w:val="0"/>
          <w:sz w:val="32"/>
          <w:szCs w:val="32"/>
          <w:highlight w:val="none"/>
          <w:lang w:val="en-US" w:eastAsia="zh-CN"/>
        </w:rPr>
        <w:t>获得三等奖（铜奖）以上1项</w:t>
      </w: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lang w:val="en-US" w:eastAsia="zh-CN"/>
        </w:rPr>
        <w:t>学校认定的C级以上科研奖项</w:t>
      </w:r>
      <w:r>
        <w:rPr>
          <w:rFonts w:hint="eastAsia" w:ascii="仿宋_GB2312" w:hAnsi="仿宋_GB2312" w:eastAsia="仿宋_GB2312" w:cs="仿宋_GB2312"/>
          <w:color w:val="000000"/>
          <w:kern w:val="0"/>
          <w:sz w:val="32"/>
          <w:szCs w:val="32"/>
          <w:highlight w:val="none"/>
          <w:lang w:eastAsia="zh-CN"/>
        </w:rPr>
        <w:t>1项；或在</w:t>
      </w:r>
      <w:r>
        <w:rPr>
          <w:rFonts w:hint="eastAsia" w:ascii="仿宋_GB2312" w:hAnsi="仿宋_GB2312" w:eastAsia="仿宋_GB2312" w:cs="仿宋_GB2312"/>
          <w:color w:val="000000"/>
          <w:kern w:val="0"/>
          <w:sz w:val="32"/>
          <w:szCs w:val="32"/>
          <w:highlight w:val="none"/>
          <w:lang w:val="en-US" w:eastAsia="zh-CN"/>
        </w:rPr>
        <w:t>学校认定的</w:t>
      </w:r>
      <w:r>
        <w:rPr>
          <w:rFonts w:hint="eastAsia" w:ascii="仿宋_GB2312" w:hAnsi="仿宋_GB2312" w:eastAsia="仿宋_GB2312" w:cs="仿宋_GB2312"/>
          <w:color w:val="000000"/>
          <w:kern w:val="0"/>
          <w:sz w:val="32"/>
          <w:szCs w:val="32"/>
          <w:highlight w:val="none"/>
          <w:lang w:eastAsia="zh-CN"/>
        </w:rPr>
        <w:t>自治区专业比赛中，</w:t>
      </w:r>
      <w:r>
        <w:rPr>
          <w:rFonts w:hint="eastAsia" w:ascii="仿宋_GB2312" w:hAnsi="仿宋_GB2312" w:eastAsia="仿宋_GB2312" w:cs="仿宋_GB2312"/>
          <w:color w:val="000000"/>
          <w:kern w:val="0"/>
          <w:sz w:val="32"/>
          <w:szCs w:val="32"/>
          <w:highlight w:val="none"/>
          <w:lang w:val="en-US" w:eastAsia="zh-CN"/>
        </w:rPr>
        <w:t>学校认定的D级以上科研奖项中，</w:t>
      </w:r>
      <w:r>
        <w:rPr>
          <w:rFonts w:hint="eastAsia" w:ascii="仿宋_GB2312" w:hAnsi="仿宋_GB2312" w:eastAsia="仿宋_GB2312" w:cs="仿宋_GB2312"/>
          <w:color w:val="000000"/>
          <w:kern w:val="0"/>
          <w:sz w:val="32"/>
          <w:szCs w:val="32"/>
          <w:highlight w:val="none"/>
          <w:lang w:eastAsia="zh-CN"/>
        </w:rPr>
        <w:t>获得一等奖1项或二等奖3项。</w:t>
      </w:r>
    </w:p>
    <w:p>
      <w:pPr>
        <w:pStyle w:val="8"/>
        <w:pageBreakBefore w:val="0"/>
        <w:widowControl w:val="0"/>
        <w:numPr>
          <w:ilvl w:val="0"/>
          <w:numId w:val="3"/>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0"/>
          <w:sz w:val="32"/>
          <w:szCs w:val="32"/>
          <w:highlight w:val="none"/>
          <w:lang w:eastAsia="zh-CN"/>
        </w:rPr>
      </w:pPr>
      <w:r>
        <w:rPr>
          <w:rFonts w:hint="eastAsia" w:ascii="方正楷体_GB2312" w:hAnsi="方正楷体_GB2312" w:eastAsia="方正楷体_GB2312" w:cs="方正楷体_GB2312"/>
          <w:color w:val="000000"/>
          <w:kern w:val="2"/>
          <w:sz w:val="32"/>
          <w:szCs w:val="32"/>
          <w:highlight w:val="none"/>
          <w:u w:val="none"/>
          <w:shd w:val="clear" w:color="auto" w:fill="auto"/>
          <w:lang w:val="en-US" w:eastAsia="zh-CN" w:bidi="ar-SA"/>
        </w:rPr>
        <w:t>个人技能</w:t>
      </w:r>
      <w:r>
        <w:rPr>
          <w:rFonts w:hint="eastAsia" w:ascii="仿宋_GB2312" w:hAnsi="仿宋_GB2312" w:eastAsia="仿宋_GB2312" w:cs="仿宋_GB2312"/>
          <w:color w:val="000000"/>
          <w:kern w:val="0"/>
          <w:sz w:val="32"/>
          <w:szCs w:val="32"/>
          <w:highlight w:val="none"/>
          <w:lang w:eastAsia="zh-CN"/>
        </w:rPr>
        <w:br w:type="textWrapping"/>
      </w:r>
      <w:r>
        <w:rPr>
          <w:rFonts w:hint="eastAsia" w:ascii="仿宋_GB2312" w:hAnsi="仿宋_GB2312" w:eastAsia="仿宋_GB2312" w:cs="仿宋_GB2312"/>
          <w:color w:val="000000"/>
          <w:kern w:val="0"/>
          <w:sz w:val="32"/>
          <w:szCs w:val="32"/>
          <w:highlight w:val="none"/>
          <w:lang w:eastAsia="zh-CN"/>
        </w:rPr>
        <w:t>　　本人在表演、创作、设计、创编等专业比赛中，获得自治区级一等奖1项或二等奖2项或国家级三等奖1项以上；或创作、设计的作品参加自治区级以上专业性展览并被自治区级以上专业机构收藏或重大设计项目被采用，或在自治区级以上专业刊物发表5件</w:t>
      </w:r>
      <w:r>
        <w:rPr>
          <w:rFonts w:hint="eastAsia" w:ascii="仿宋_GB2312" w:hAnsi="仿宋_GB2312" w:eastAsia="仿宋_GB2312" w:cs="仿宋_GB2312"/>
          <w:color w:val="000000"/>
          <w:kern w:val="0"/>
          <w:sz w:val="32"/>
          <w:szCs w:val="32"/>
          <w:highlight w:val="none"/>
          <w:lang w:val="en-US" w:eastAsia="zh-CN"/>
        </w:rPr>
        <w:t>及</w:t>
      </w:r>
      <w:r>
        <w:rPr>
          <w:rFonts w:hint="eastAsia" w:ascii="仿宋_GB2312" w:hAnsi="仿宋_GB2312" w:eastAsia="仿宋_GB2312" w:cs="仿宋_GB2312"/>
          <w:color w:val="000000"/>
          <w:kern w:val="0"/>
          <w:sz w:val="32"/>
          <w:szCs w:val="32"/>
          <w:highlight w:val="none"/>
          <w:lang w:eastAsia="zh-CN"/>
        </w:rPr>
        <w:t>以上，其中至少有1件参加全国专业展览。</w:t>
      </w:r>
    </w:p>
    <w:p>
      <w:pPr>
        <w:pStyle w:val="8"/>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0"/>
          <w:sz w:val="32"/>
          <w:szCs w:val="32"/>
          <w:highlight w:val="none"/>
          <w:lang w:eastAsia="zh-CN"/>
        </w:rPr>
      </w:pPr>
      <w:r>
        <w:rPr>
          <w:rFonts w:hint="eastAsia" w:ascii="方正楷体_GB2312" w:hAnsi="方正楷体_GB2312" w:eastAsia="方正楷体_GB2312" w:cs="方正楷体_GB2312"/>
          <w:color w:val="000000"/>
          <w:kern w:val="2"/>
          <w:sz w:val="32"/>
          <w:szCs w:val="32"/>
          <w:highlight w:val="none"/>
          <w:u w:val="none"/>
          <w:shd w:val="clear" w:color="auto" w:fill="auto"/>
          <w:lang w:val="en-US" w:eastAsia="zh-CN" w:bidi="ar-SA"/>
        </w:rPr>
        <w:t>（五）著作</w:t>
      </w:r>
      <w:r>
        <w:rPr>
          <w:rFonts w:hint="eastAsia" w:ascii="仿宋_GB2312" w:hAnsi="仿宋_GB2312" w:eastAsia="仿宋_GB2312" w:cs="仿宋_GB2312"/>
          <w:color w:val="000000"/>
          <w:kern w:val="0"/>
          <w:sz w:val="32"/>
          <w:szCs w:val="32"/>
          <w:highlight w:val="none"/>
          <w:lang w:eastAsia="zh-CN"/>
        </w:rPr>
        <w:br w:type="textWrapping"/>
      </w:r>
      <w:r>
        <w:rPr>
          <w:rFonts w:hint="eastAsia" w:ascii="仿宋_GB2312" w:hAnsi="仿宋_GB2312" w:eastAsia="仿宋_GB2312" w:cs="仿宋_GB2312"/>
          <w:color w:val="000000"/>
          <w:kern w:val="0"/>
          <w:sz w:val="32"/>
          <w:szCs w:val="32"/>
          <w:highlight w:val="none"/>
          <w:lang w:eastAsia="zh-CN"/>
        </w:rPr>
        <w:t>　　出版与从事专业一致的</w:t>
      </w:r>
      <w:r>
        <w:rPr>
          <w:rFonts w:hint="eastAsia" w:ascii="仿宋_GB2312" w:hAnsi="仿宋_GB2312" w:eastAsia="仿宋_GB2312" w:cs="仿宋_GB2312"/>
          <w:color w:val="000000"/>
          <w:kern w:val="0"/>
          <w:sz w:val="32"/>
          <w:szCs w:val="32"/>
          <w:highlight w:val="none"/>
          <w:lang w:val="en-US" w:eastAsia="zh-CN"/>
        </w:rPr>
        <w:t>著作</w:t>
      </w:r>
      <w:r>
        <w:rPr>
          <w:rFonts w:hint="eastAsia" w:ascii="仿宋_GB2312" w:hAnsi="仿宋_GB2312" w:eastAsia="仿宋_GB2312" w:cs="仿宋_GB2312"/>
          <w:color w:val="000000"/>
          <w:kern w:val="0"/>
          <w:sz w:val="32"/>
          <w:szCs w:val="32"/>
          <w:highlight w:val="none"/>
          <w:lang w:eastAsia="zh-CN"/>
        </w:rPr>
        <w:t>，本人撰写部分字数不少于8万字，如果是几部著作累加，字数不少于10万字。著作应是本人承担科研、教研（教改）项目或本人多年学术研究系列论文积累形成的最终结果。</w:t>
      </w:r>
    </w:p>
    <w:p>
      <w:pPr>
        <w:pStyle w:val="8"/>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0"/>
          <w:sz w:val="32"/>
          <w:szCs w:val="32"/>
          <w:highlight w:val="none"/>
          <w:lang w:eastAsia="zh-CN"/>
        </w:rPr>
      </w:pPr>
      <w:r>
        <w:rPr>
          <w:rFonts w:hint="eastAsia" w:ascii="方正楷体_GB2312" w:hAnsi="方正楷体_GB2312" w:eastAsia="方正楷体_GB2312" w:cs="方正楷体_GB2312"/>
          <w:color w:val="000000"/>
          <w:kern w:val="2"/>
          <w:sz w:val="32"/>
          <w:szCs w:val="32"/>
          <w:highlight w:val="none"/>
          <w:u w:val="none"/>
          <w:shd w:val="clear" w:color="auto" w:fill="auto"/>
          <w:lang w:val="en-US" w:eastAsia="zh-CN" w:bidi="ar-SA"/>
        </w:rPr>
        <w:t>（六）教材</w:t>
      </w:r>
      <w:r>
        <w:rPr>
          <w:rFonts w:hint="eastAsia" w:ascii="仿宋_GB2312" w:hAnsi="仿宋_GB2312" w:eastAsia="仿宋_GB2312" w:cs="仿宋_GB2312"/>
          <w:color w:val="000000"/>
          <w:kern w:val="0"/>
          <w:sz w:val="32"/>
          <w:szCs w:val="32"/>
          <w:highlight w:val="none"/>
          <w:lang w:eastAsia="zh-CN"/>
        </w:rPr>
        <w:br w:type="textWrapping"/>
      </w:r>
      <w:r>
        <w:rPr>
          <w:rFonts w:hint="eastAsia" w:ascii="仿宋_GB2312" w:hAnsi="仿宋_GB2312" w:eastAsia="仿宋_GB2312" w:cs="仿宋_GB2312"/>
          <w:color w:val="000000"/>
          <w:kern w:val="0"/>
          <w:sz w:val="32"/>
          <w:szCs w:val="32"/>
          <w:highlight w:val="none"/>
          <w:lang w:eastAsia="zh-CN"/>
        </w:rPr>
        <w:t>　　主编或参编与所授课程相关的教材，本人编写字数在5万字以上。</w:t>
      </w:r>
    </w:p>
    <w:p>
      <w:pPr>
        <w:pStyle w:val="8"/>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0"/>
          <w:sz w:val="32"/>
          <w:szCs w:val="32"/>
          <w:highlight w:val="none"/>
          <w:lang w:eastAsia="zh-CN"/>
        </w:rPr>
      </w:pPr>
      <w:r>
        <w:rPr>
          <w:rFonts w:hint="eastAsia" w:ascii="方正楷体_GB2312" w:hAnsi="方正楷体_GB2312" w:eastAsia="方正楷体_GB2312" w:cs="方正楷体_GB2312"/>
          <w:color w:val="000000"/>
          <w:kern w:val="2"/>
          <w:sz w:val="32"/>
          <w:szCs w:val="32"/>
          <w:highlight w:val="none"/>
          <w:u w:val="none"/>
          <w:shd w:val="clear" w:color="auto" w:fill="auto"/>
          <w:lang w:val="en-US" w:eastAsia="zh-CN" w:bidi="ar-SA"/>
        </w:rPr>
        <w:t>（七）教学奖</w:t>
      </w:r>
      <w:r>
        <w:rPr>
          <w:rFonts w:hint="eastAsia" w:ascii="仿宋_GB2312" w:hAnsi="仿宋_GB2312" w:eastAsia="仿宋_GB2312" w:cs="仿宋_GB2312"/>
          <w:color w:val="000000"/>
          <w:kern w:val="0"/>
          <w:sz w:val="32"/>
          <w:szCs w:val="32"/>
          <w:highlight w:val="none"/>
          <w:lang w:eastAsia="zh-CN"/>
        </w:rPr>
        <w:br w:type="textWrapping"/>
      </w:r>
      <w:r>
        <w:rPr>
          <w:rFonts w:hint="eastAsia" w:ascii="仿宋_GB2312" w:hAnsi="仿宋_GB2312" w:eastAsia="仿宋_GB2312" w:cs="仿宋_GB2312"/>
          <w:color w:val="000000"/>
          <w:kern w:val="0"/>
          <w:sz w:val="32"/>
          <w:szCs w:val="32"/>
          <w:highlight w:val="none"/>
          <w:lang w:eastAsia="zh-CN"/>
        </w:rPr>
        <w:t>　　获国家</w:t>
      </w:r>
      <w:r>
        <w:rPr>
          <w:rFonts w:hint="eastAsia" w:ascii="仿宋_GB2312" w:hAnsi="仿宋_GB2312" w:eastAsia="仿宋_GB2312" w:cs="仿宋_GB2312"/>
          <w:color w:val="000000"/>
          <w:kern w:val="0"/>
          <w:sz w:val="32"/>
          <w:szCs w:val="32"/>
          <w:highlight w:val="none"/>
          <w:lang w:val="en-US" w:eastAsia="zh-CN"/>
        </w:rPr>
        <w:t>优秀</w:t>
      </w:r>
      <w:r>
        <w:rPr>
          <w:rFonts w:hint="eastAsia" w:ascii="仿宋_GB2312" w:hAnsi="仿宋_GB2312" w:eastAsia="仿宋_GB2312" w:cs="仿宋_GB2312"/>
          <w:color w:val="000000"/>
          <w:kern w:val="0"/>
          <w:sz w:val="32"/>
          <w:szCs w:val="32"/>
          <w:highlight w:val="none"/>
          <w:lang w:eastAsia="zh-CN"/>
        </w:rPr>
        <w:t>教学成果奖1项（前5名）；或自治区</w:t>
      </w:r>
      <w:r>
        <w:rPr>
          <w:rFonts w:hint="eastAsia" w:ascii="仿宋_GB2312" w:hAnsi="仿宋_GB2312" w:eastAsia="仿宋_GB2312" w:cs="仿宋_GB2312"/>
          <w:color w:val="000000"/>
          <w:kern w:val="0"/>
          <w:sz w:val="32"/>
          <w:szCs w:val="32"/>
          <w:highlight w:val="none"/>
          <w:lang w:val="en-US" w:eastAsia="zh-CN"/>
        </w:rPr>
        <w:t>优秀</w:t>
      </w:r>
      <w:r>
        <w:rPr>
          <w:rFonts w:hint="eastAsia" w:ascii="仿宋_GB2312" w:hAnsi="仿宋_GB2312" w:eastAsia="仿宋_GB2312" w:cs="仿宋_GB2312"/>
          <w:color w:val="000000"/>
          <w:kern w:val="0"/>
          <w:sz w:val="32"/>
          <w:szCs w:val="32"/>
          <w:highlight w:val="none"/>
          <w:lang w:eastAsia="zh-CN"/>
        </w:rPr>
        <w:t>教学成果一等奖1项（前3名）、或二、三等奖各1项（前2名）；或获</w:t>
      </w:r>
      <w:r>
        <w:rPr>
          <w:rFonts w:hint="eastAsia" w:ascii="仿宋_GB2312" w:hAnsi="仿宋_GB2312" w:eastAsia="仿宋_GB2312" w:cs="仿宋_GB2312"/>
          <w:kern w:val="0"/>
          <w:sz w:val="32"/>
          <w:szCs w:val="32"/>
          <w:highlight w:val="none"/>
          <w:lang w:eastAsia="zh-CN"/>
        </w:rPr>
        <w:t>自治区</w:t>
      </w:r>
      <w:r>
        <w:rPr>
          <w:rFonts w:hint="eastAsia" w:ascii="仿宋_GB2312" w:hAnsi="仿宋_GB2312" w:eastAsia="仿宋_GB2312" w:cs="仿宋_GB2312"/>
          <w:kern w:val="0"/>
          <w:sz w:val="32"/>
          <w:szCs w:val="32"/>
          <w:highlight w:val="none"/>
          <w:lang w:val="en-US" w:eastAsia="zh-Hans"/>
        </w:rPr>
        <w:t>教师教学创新大赛</w:t>
      </w:r>
      <w:r>
        <w:rPr>
          <w:rFonts w:hint="eastAsia" w:ascii="仿宋_GB2312" w:hAnsi="仿宋_GB2312" w:eastAsia="仿宋_GB2312" w:cs="仿宋_GB2312"/>
          <w:kern w:val="0"/>
          <w:sz w:val="32"/>
          <w:szCs w:val="32"/>
          <w:highlight w:val="none"/>
          <w:lang w:eastAsia="zh-Hans"/>
        </w:rPr>
        <w:t>、</w:t>
      </w:r>
      <w:r>
        <w:rPr>
          <w:rFonts w:hint="eastAsia" w:ascii="仿宋_GB2312" w:hAnsi="仿宋_GB2312" w:eastAsia="仿宋_GB2312" w:cs="仿宋_GB2312"/>
          <w:kern w:val="0"/>
          <w:sz w:val="32"/>
          <w:szCs w:val="32"/>
          <w:highlight w:val="none"/>
          <w:lang w:val="en-US" w:eastAsia="zh-Hans"/>
        </w:rPr>
        <w:t>自治区课程思政大赛</w:t>
      </w:r>
      <w:r>
        <w:rPr>
          <w:rFonts w:hint="eastAsia" w:ascii="仿宋_GB2312" w:hAnsi="仿宋_GB2312" w:eastAsia="仿宋_GB2312" w:cs="仿宋_GB2312"/>
          <w:kern w:val="0"/>
          <w:sz w:val="32"/>
          <w:szCs w:val="32"/>
          <w:highlight w:val="none"/>
          <w:lang w:eastAsia="zh-Hans"/>
        </w:rPr>
        <w:t>、</w:t>
      </w:r>
      <w:r>
        <w:rPr>
          <w:rFonts w:hint="eastAsia" w:ascii="仿宋_GB2312" w:hAnsi="仿宋_GB2312" w:eastAsia="仿宋_GB2312" w:cs="仿宋_GB2312"/>
          <w:kern w:val="0"/>
          <w:sz w:val="32"/>
          <w:szCs w:val="32"/>
          <w:highlight w:val="none"/>
          <w:lang w:val="en-US" w:eastAsia="zh-Hans"/>
        </w:rPr>
        <w:t>自治区</w:t>
      </w:r>
      <w:r>
        <w:rPr>
          <w:rFonts w:hint="eastAsia" w:ascii="仿宋_GB2312" w:hAnsi="仿宋_GB2312" w:eastAsia="仿宋_GB2312" w:cs="仿宋_GB2312"/>
          <w:kern w:val="0"/>
          <w:sz w:val="32"/>
          <w:szCs w:val="32"/>
          <w:highlight w:val="none"/>
          <w:lang w:eastAsia="zh-CN"/>
        </w:rPr>
        <w:t>青年教师课堂教学技艺大赛一等奖</w:t>
      </w:r>
      <w:r>
        <w:rPr>
          <w:rFonts w:hint="eastAsia" w:ascii="仿宋_GB2312" w:hAnsi="仿宋_GB2312" w:eastAsia="仿宋_GB2312" w:cs="仿宋_GB2312"/>
          <w:color w:val="000000"/>
          <w:kern w:val="0"/>
          <w:sz w:val="32"/>
          <w:szCs w:val="32"/>
          <w:highlight w:val="none"/>
          <w:lang w:eastAsia="zh-CN"/>
        </w:rPr>
        <w:t xml:space="preserve">。 </w:t>
      </w:r>
    </w:p>
    <w:p>
      <w:pPr>
        <w:pStyle w:val="8"/>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0"/>
          <w:sz w:val="32"/>
          <w:szCs w:val="32"/>
          <w:highlight w:val="none"/>
          <w:lang w:eastAsia="zh-CN"/>
        </w:rPr>
      </w:pPr>
      <w:r>
        <w:rPr>
          <w:rFonts w:hint="eastAsia" w:ascii="方正楷体_GB2312" w:hAnsi="方正楷体_GB2312" w:eastAsia="方正楷体_GB2312" w:cs="方正楷体_GB2312"/>
          <w:color w:val="000000"/>
          <w:kern w:val="2"/>
          <w:sz w:val="32"/>
          <w:szCs w:val="32"/>
          <w:highlight w:val="none"/>
          <w:u w:val="none"/>
          <w:shd w:val="clear" w:color="auto" w:fill="auto"/>
          <w:lang w:val="en-US" w:eastAsia="zh-CN" w:bidi="ar-SA"/>
        </w:rPr>
        <w:t>（八）科研奖</w:t>
      </w:r>
    </w:p>
    <w:p>
      <w:pPr>
        <w:pStyle w:val="8"/>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eastAsia="zh-CN"/>
        </w:rPr>
        <w:t>国家、部委、自治区、厅局和学校等教育、文化、宣传、科研主管部门常设的学术成果奖项，全国或省、市、自治区文联及下属协会常设的学术成果奖项</w:t>
      </w:r>
      <w:r>
        <w:rPr>
          <w:rFonts w:hint="eastAsia" w:ascii="仿宋_GB2312" w:hAnsi="仿宋_GB2312" w:eastAsia="仿宋_GB2312" w:cs="仿宋_GB2312"/>
          <w:kern w:val="0"/>
          <w:sz w:val="32"/>
          <w:szCs w:val="32"/>
          <w:highlight w:val="none"/>
          <w:lang w:val="en-US" w:eastAsia="zh-CN"/>
        </w:rPr>
        <w:t>中的A、B级成果奖项</w:t>
      </w:r>
      <w:r>
        <w:rPr>
          <w:rFonts w:hint="eastAsia" w:ascii="仿宋_GB2312" w:hAnsi="仿宋_GB2312" w:eastAsia="仿宋_GB2312" w:cs="仿宋_GB2312"/>
          <w:kern w:val="0"/>
          <w:sz w:val="32"/>
          <w:szCs w:val="32"/>
          <w:highlight w:val="none"/>
          <w:lang w:eastAsia="zh-CN"/>
        </w:rPr>
        <w:t>。</w:t>
      </w:r>
      <w:r>
        <w:rPr>
          <w:rFonts w:hint="eastAsia" w:ascii="仿宋_GB2312" w:hAnsi="仿宋_GB2312" w:eastAsia="仿宋_GB2312" w:cs="仿宋_GB2312"/>
          <w:kern w:val="0"/>
          <w:sz w:val="32"/>
          <w:szCs w:val="32"/>
          <w:highlight w:val="none"/>
          <w:lang w:val="en-US" w:eastAsia="zh-CN"/>
        </w:rPr>
        <w:t>其中A级奖项按全体获奖成员认定，B级奖项按获奖人员前5名认定。</w:t>
      </w:r>
      <w:r>
        <w:rPr>
          <w:rFonts w:hint="eastAsia" w:ascii="仿宋_GB2312" w:hAnsi="仿宋_GB2312" w:eastAsia="仿宋_GB2312" w:cs="仿宋_GB2312"/>
          <w:kern w:val="0"/>
          <w:sz w:val="32"/>
          <w:szCs w:val="32"/>
          <w:highlight w:val="none"/>
          <w:lang w:eastAsia="zh-CN"/>
        </w:rPr>
        <w:t>获奖认定仅限成果获奖，不含人物获奖(称号),以获奖证书原件为认定依据。</w:t>
      </w:r>
    </w:p>
    <w:p>
      <w:pPr>
        <w:pStyle w:val="8"/>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color w:val="000000"/>
          <w:kern w:val="0"/>
          <w:sz w:val="32"/>
          <w:szCs w:val="32"/>
          <w:highlight w:val="none"/>
          <w:lang w:eastAsia="zh-CN"/>
        </w:rPr>
      </w:pPr>
      <w:r>
        <w:rPr>
          <w:rFonts w:hint="eastAsia" w:ascii="方正楷体_GB2312" w:hAnsi="方正楷体_GB2312" w:eastAsia="方正楷体_GB2312" w:cs="方正楷体_GB2312"/>
          <w:color w:val="000000"/>
          <w:kern w:val="2"/>
          <w:sz w:val="32"/>
          <w:szCs w:val="32"/>
          <w:highlight w:val="none"/>
          <w:u w:val="none"/>
          <w:shd w:val="clear" w:color="auto" w:fill="auto"/>
          <w:lang w:val="en-US" w:eastAsia="zh-CN" w:bidi="ar-SA"/>
        </w:rPr>
        <w:t>（九）艺术奖</w:t>
      </w:r>
      <w:r>
        <w:rPr>
          <w:rFonts w:hint="eastAsia" w:ascii="仿宋_GB2312" w:hAnsi="仿宋_GB2312" w:eastAsia="仿宋_GB2312" w:cs="仿宋_GB2312"/>
          <w:color w:val="000000"/>
          <w:kern w:val="0"/>
          <w:sz w:val="32"/>
          <w:szCs w:val="32"/>
          <w:highlight w:val="none"/>
          <w:lang w:eastAsia="zh-CN"/>
        </w:rPr>
        <w:br w:type="textWrapping"/>
      </w:r>
      <w:r>
        <w:rPr>
          <w:rFonts w:hint="eastAsia" w:ascii="仿宋_GB2312" w:hAnsi="仿宋_GB2312" w:eastAsia="仿宋_GB2312" w:cs="仿宋_GB2312"/>
          <w:color w:val="000000"/>
          <w:kern w:val="0"/>
          <w:sz w:val="32"/>
          <w:szCs w:val="32"/>
          <w:highlight w:val="none"/>
          <w:lang w:eastAsia="zh-CN"/>
        </w:rPr>
        <w:t>　　被评为自治区级文学艺术“索</w:t>
      </w:r>
      <w:r>
        <w:rPr>
          <w:rFonts w:hint="eastAsia" w:ascii="仿宋_GB2312" w:hAnsi="仿宋_GB2312" w:eastAsia="仿宋_GB2312" w:cs="仿宋_GB2312"/>
          <w:color w:val="000000"/>
          <w:kern w:val="0"/>
          <w:sz w:val="32"/>
          <w:szCs w:val="32"/>
          <w:highlight w:val="none"/>
          <w:lang w:val="en-US" w:eastAsia="zh-CN"/>
        </w:rPr>
        <w:t>龙</w:t>
      </w:r>
      <w:r>
        <w:rPr>
          <w:rFonts w:hint="eastAsia" w:ascii="仿宋_GB2312" w:hAnsi="仿宋_GB2312" w:eastAsia="仿宋_GB2312" w:cs="仿宋_GB2312"/>
          <w:color w:val="000000"/>
          <w:kern w:val="0"/>
          <w:sz w:val="32"/>
          <w:szCs w:val="32"/>
          <w:highlight w:val="none"/>
          <w:lang w:eastAsia="zh-CN"/>
        </w:rPr>
        <w:t>嘎”奖或“萨日</w:t>
      </w:r>
      <w:r>
        <w:rPr>
          <w:rFonts w:hint="eastAsia" w:ascii="仿宋_GB2312" w:hAnsi="仿宋_GB2312" w:eastAsia="仿宋_GB2312" w:cs="仿宋_GB2312"/>
          <w:color w:val="000000"/>
          <w:kern w:val="0"/>
          <w:sz w:val="32"/>
          <w:szCs w:val="32"/>
          <w:highlight w:val="none"/>
          <w:lang w:val="en-US" w:eastAsia="zh-CN"/>
        </w:rPr>
        <w:t>纳</w:t>
      </w:r>
      <w:r>
        <w:rPr>
          <w:rFonts w:hint="eastAsia" w:ascii="仿宋_GB2312" w:hAnsi="仿宋_GB2312" w:eastAsia="仿宋_GB2312" w:cs="仿宋_GB2312"/>
          <w:color w:val="000000"/>
          <w:kern w:val="0"/>
          <w:sz w:val="32"/>
          <w:szCs w:val="32"/>
          <w:highlight w:val="none"/>
          <w:lang w:eastAsia="zh-CN"/>
        </w:rPr>
        <w:t>”奖或“骏马”奖或“五个一工程”奖或“</w:t>
      </w:r>
      <w:r>
        <w:rPr>
          <w:rFonts w:hint="eastAsia" w:ascii="仿宋_GB2312" w:hAnsi="仿宋_GB2312" w:eastAsia="仿宋_GB2312" w:cs="仿宋_GB2312"/>
          <w:color w:val="000000"/>
          <w:kern w:val="0"/>
          <w:sz w:val="32"/>
          <w:szCs w:val="32"/>
          <w:highlight w:val="none"/>
          <w:lang w:val="en-US" w:eastAsia="zh-CN"/>
        </w:rPr>
        <w:t>内蒙古</w:t>
      </w:r>
      <w:r>
        <w:rPr>
          <w:rFonts w:hint="eastAsia" w:ascii="仿宋_GB2312" w:hAnsi="仿宋_GB2312" w:eastAsia="仿宋_GB2312" w:cs="仿宋_GB2312"/>
          <w:color w:val="000000"/>
          <w:kern w:val="0"/>
          <w:sz w:val="32"/>
          <w:szCs w:val="32"/>
          <w:highlight w:val="none"/>
          <w:lang w:eastAsia="zh-CN"/>
        </w:rPr>
        <w:t>美术</w:t>
      </w:r>
      <w:r>
        <w:rPr>
          <w:rFonts w:hint="eastAsia" w:ascii="仿宋_GB2312" w:hAnsi="仿宋_GB2312" w:eastAsia="仿宋_GB2312" w:cs="仿宋_GB2312"/>
          <w:color w:val="000000"/>
          <w:kern w:val="0"/>
          <w:sz w:val="32"/>
          <w:szCs w:val="32"/>
          <w:highlight w:val="none"/>
          <w:lang w:val="en-US" w:eastAsia="zh-CN"/>
        </w:rPr>
        <w:t>作品</w:t>
      </w:r>
      <w:r>
        <w:rPr>
          <w:rFonts w:hint="eastAsia" w:ascii="仿宋_GB2312" w:hAnsi="仿宋_GB2312" w:eastAsia="仿宋_GB2312" w:cs="仿宋_GB2312"/>
          <w:color w:val="000000"/>
          <w:kern w:val="0"/>
          <w:sz w:val="32"/>
          <w:szCs w:val="32"/>
          <w:highlight w:val="none"/>
          <w:lang w:eastAsia="zh-CN"/>
        </w:rPr>
        <w:t>展览”一</w:t>
      </w:r>
      <w:r>
        <w:rPr>
          <w:rFonts w:hint="eastAsia" w:ascii="仿宋_GB2312" w:hAnsi="仿宋_GB2312" w:eastAsia="仿宋_GB2312" w:cs="仿宋_GB2312"/>
          <w:kern w:val="0"/>
          <w:sz w:val="32"/>
          <w:szCs w:val="32"/>
          <w:highlight w:val="none"/>
          <w:lang w:eastAsia="zh-CN"/>
        </w:rPr>
        <w:t>等奖以上、或“分赛区青年歌手电视大奖赛”一等奖</w:t>
      </w:r>
      <w:r>
        <w:rPr>
          <w:rFonts w:hint="eastAsia" w:ascii="仿宋_GB2312" w:hAnsi="仿宋_GB2312" w:eastAsia="仿宋_GB2312" w:cs="仿宋_GB2312"/>
          <w:color w:val="000000"/>
          <w:kern w:val="0"/>
          <w:sz w:val="32"/>
          <w:szCs w:val="32"/>
          <w:highlight w:val="none"/>
          <w:lang w:eastAsia="zh-CN"/>
        </w:rPr>
        <w:t>以上奖励。</w:t>
      </w:r>
    </w:p>
    <w:p>
      <w:pPr>
        <w:pStyle w:val="8"/>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color w:val="000000"/>
          <w:kern w:val="0"/>
          <w:sz w:val="32"/>
          <w:szCs w:val="32"/>
          <w:highlight w:val="none"/>
          <w:lang w:eastAsia="zh-CN"/>
        </w:rPr>
      </w:pPr>
      <w:r>
        <w:rPr>
          <w:rFonts w:hint="eastAsia" w:ascii="方正楷体_GB2312" w:hAnsi="方正楷体_GB2312" w:eastAsia="方正楷体_GB2312" w:cs="方正楷体_GB2312"/>
          <w:color w:val="000000"/>
          <w:kern w:val="2"/>
          <w:sz w:val="32"/>
          <w:szCs w:val="32"/>
          <w:highlight w:val="none"/>
          <w:u w:val="none"/>
          <w:shd w:val="clear" w:color="auto" w:fill="auto"/>
          <w:lang w:val="en-US" w:eastAsia="zh-CN" w:bidi="ar-SA"/>
        </w:rPr>
        <w:t>（十）科研成果转化或推广</w:t>
      </w:r>
      <w:r>
        <w:rPr>
          <w:rFonts w:hint="eastAsia" w:ascii="仿宋_GB2312" w:hAnsi="仿宋_GB2312" w:eastAsia="仿宋_GB2312" w:cs="仿宋_GB2312"/>
          <w:color w:val="000000"/>
          <w:kern w:val="0"/>
          <w:sz w:val="32"/>
          <w:szCs w:val="32"/>
          <w:highlight w:val="none"/>
          <w:lang w:eastAsia="zh-CN"/>
        </w:rPr>
        <w:br w:type="textWrapping"/>
      </w:r>
      <w:r>
        <w:rPr>
          <w:rFonts w:hint="eastAsia" w:ascii="仿宋_GB2312" w:hAnsi="仿宋_GB2312" w:eastAsia="仿宋_GB2312" w:cs="仿宋_GB2312"/>
          <w:color w:val="000000"/>
          <w:kern w:val="0"/>
          <w:sz w:val="32"/>
          <w:szCs w:val="32"/>
          <w:highlight w:val="none"/>
          <w:lang w:eastAsia="zh-CN"/>
        </w:rPr>
        <w:t>　　在科研成果转化、科学技术推广方面取得一定成果，具有经济效益或社会效益。包括参与（前3名）省级单位委托的调研咨询项目，成果被采用并产生社会或经济效益（以政府部门采信的批示原件为认定依据）；取得的国际、国家专利认证机构授权的各类职务发明创造的专利；及由该专利持有人所完成的具有实质性经济、社会效益的生产性、应用性转让（以专利授权证书、国务院专利行政部门公告、专利转让合同、转让经费到账证明等为认定依据）。</w:t>
      </w:r>
    </w:p>
    <w:p>
      <w:pPr>
        <w:pStyle w:val="8"/>
        <w:pageBreakBefore w:val="0"/>
        <w:widowControl w:val="0"/>
        <w:kinsoku/>
        <w:wordWrap/>
        <w:overflowPunct/>
        <w:topLinePunct w:val="0"/>
        <w:autoSpaceDE/>
        <w:autoSpaceDN/>
        <w:bidi w:val="0"/>
        <w:adjustRightInd/>
        <w:snapToGrid/>
        <w:spacing w:line="560" w:lineRule="exact"/>
        <w:jc w:val="both"/>
        <w:textAlignment w:val="auto"/>
        <w:rPr>
          <w:rFonts w:hint="eastAsia" w:ascii="方正楷体_GB2312" w:hAnsi="方正楷体_GB2312" w:eastAsia="方正楷体_GB2312" w:cs="方正楷体_GB2312"/>
          <w:color w:val="000000"/>
          <w:kern w:val="2"/>
          <w:sz w:val="32"/>
          <w:szCs w:val="32"/>
          <w:highlight w:val="none"/>
          <w:u w:val="none"/>
          <w:shd w:val="clear" w:color="auto" w:fill="auto"/>
          <w:lang w:val="en-US" w:eastAsia="zh-Hans" w:bidi="ar-SA"/>
        </w:rPr>
      </w:pPr>
      <w:r>
        <w:rPr>
          <w:rFonts w:hint="eastAsia" w:ascii="方正楷体_GB2312" w:hAnsi="方正楷体_GB2312" w:eastAsia="方正楷体_GB2312" w:cs="方正楷体_GB2312"/>
          <w:color w:val="000000"/>
          <w:kern w:val="2"/>
          <w:sz w:val="32"/>
          <w:szCs w:val="32"/>
          <w:highlight w:val="none"/>
          <w:u w:val="none"/>
          <w:shd w:val="clear" w:color="auto" w:fill="auto"/>
          <w:lang w:val="en-US" w:eastAsia="zh-CN" w:bidi="ar-SA"/>
        </w:rPr>
        <w:t>（十一）</w:t>
      </w:r>
      <w:r>
        <w:rPr>
          <w:rFonts w:hint="eastAsia" w:ascii="方正楷体_GB2312" w:hAnsi="方正楷体_GB2312" w:eastAsia="方正楷体_GB2312" w:cs="方正楷体_GB2312"/>
          <w:color w:val="000000"/>
          <w:kern w:val="2"/>
          <w:sz w:val="32"/>
          <w:szCs w:val="32"/>
          <w:highlight w:val="none"/>
          <w:u w:val="none"/>
          <w:shd w:val="clear" w:color="auto" w:fill="auto"/>
          <w:lang w:val="en-US" w:eastAsia="zh-Hans" w:bidi="ar-SA"/>
        </w:rPr>
        <w:t>体育比赛</w:t>
      </w:r>
    </w:p>
    <w:p>
      <w:pPr>
        <w:pStyle w:val="8"/>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kern w:val="0"/>
          <w:sz w:val="32"/>
          <w:szCs w:val="32"/>
          <w:highlight w:val="none"/>
          <w:lang w:eastAsia="zh-CN"/>
        </w:rPr>
      </w:pPr>
      <w:r>
        <w:rPr>
          <w:rFonts w:hint="eastAsia" w:ascii="仿宋_GB2312" w:hAnsi="仿宋_GB2312" w:eastAsia="仿宋_GB2312" w:cs="仿宋_GB2312"/>
          <w:color w:val="000000"/>
          <w:kern w:val="0"/>
          <w:sz w:val="32"/>
          <w:szCs w:val="32"/>
          <w:highlight w:val="none"/>
          <w:lang w:eastAsia="zh-CN"/>
        </w:rPr>
        <w:t>本人或作为主教练、主管教练其学生在全国运动会（全国大学生运动会）以上比赛中获得前8名1次以上；或在全国单项赛、全国大学生运动会单项赛中获得前6名1次以上；或在自治区全运会、自治区大学生运动会比赛中获得前3名2次以上。</w:t>
      </w:r>
    </w:p>
    <w:p>
      <w:pPr>
        <w:pStyle w:val="7"/>
        <w:keepNext/>
        <w:keepLines/>
        <w:pageBreakBefore w:val="0"/>
        <w:widowControl w:val="0"/>
        <w:numPr>
          <w:ilvl w:val="0"/>
          <w:numId w:val="0"/>
        </w:numPr>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eastAsia" w:ascii="仿宋_GB2312" w:hAnsi="仿宋_GB2312" w:eastAsia="仿宋_GB2312" w:cs="仿宋_GB2312"/>
          <w:kern w:val="0"/>
          <w:sz w:val="32"/>
          <w:szCs w:val="32"/>
          <w:highlight w:val="none"/>
          <w:lang w:eastAsia="zh-CN"/>
        </w:rPr>
      </w:pPr>
      <w:r>
        <w:rPr>
          <w:rFonts w:hint="eastAsia" w:ascii="黑体" w:hAnsi="黑体" w:eastAsia="黑体" w:cs="黑体"/>
          <w:b w:val="0"/>
          <w:bCs w:val="0"/>
          <w:color w:val="000000"/>
          <w:kern w:val="0"/>
          <w:sz w:val="32"/>
          <w:szCs w:val="32"/>
          <w:highlight w:val="none"/>
          <w:lang w:val="en-US" w:eastAsia="zh-CN"/>
        </w:rPr>
        <w:t>二、</w:t>
      </w:r>
      <w:r>
        <w:rPr>
          <w:rFonts w:hint="eastAsia" w:ascii="黑体" w:hAnsi="黑体" w:eastAsia="黑体" w:cs="黑体"/>
          <w:b w:val="0"/>
          <w:bCs w:val="0"/>
          <w:color w:val="000000"/>
          <w:kern w:val="0"/>
          <w:sz w:val="32"/>
          <w:szCs w:val="32"/>
          <w:highlight w:val="none"/>
          <w:lang w:eastAsia="zh-CN"/>
        </w:rPr>
        <w:t>申报副教授资格</w:t>
      </w:r>
      <w:r>
        <w:rPr>
          <w:rFonts w:hint="eastAsia" w:ascii="仿宋_GB2312" w:hAnsi="仿宋_GB2312" w:eastAsia="仿宋_GB2312" w:cs="仿宋_GB2312"/>
          <w:color w:val="000000"/>
          <w:kern w:val="0"/>
          <w:sz w:val="32"/>
          <w:szCs w:val="32"/>
          <w:highlight w:val="none"/>
          <w:lang w:eastAsia="zh-CN"/>
        </w:rPr>
        <w:br w:type="textWrapping"/>
      </w:r>
      <w:r>
        <w:rPr>
          <w:rFonts w:hint="eastAsia" w:ascii="仿宋_GB2312" w:hAnsi="仿宋_GB2312" w:eastAsia="仿宋_GB2312" w:cs="仿宋_GB2312"/>
          <w:color w:val="000000"/>
          <w:kern w:val="0"/>
          <w:sz w:val="32"/>
          <w:szCs w:val="32"/>
          <w:highlight w:val="none"/>
          <w:lang w:eastAsia="zh-CN"/>
        </w:rPr>
        <w:t>　　</w:t>
      </w:r>
      <w:r>
        <w:rPr>
          <w:rFonts w:hint="eastAsia" w:ascii="仿宋_GB2312" w:hAnsi="仿宋_GB2312" w:eastAsia="仿宋_GB2312" w:cs="仿宋_GB2312"/>
          <w:color w:val="000000"/>
          <w:kern w:val="0"/>
          <w:sz w:val="32"/>
          <w:szCs w:val="32"/>
          <w:highlight w:val="none"/>
          <w:lang w:val="en-US" w:eastAsia="zh-CN"/>
        </w:rPr>
        <w:t>受聘</w:t>
      </w:r>
      <w:r>
        <w:rPr>
          <w:rFonts w:hint="eastAsia" w:ascii="仿宋_GB2312" w:hAnsi="仿宋_GB2312" w:eastAsia="仿宋_GB2312" w:cs="仿宋_GB2312"/>
          <w:color w:val="000000"/>
          <w:kern w:val="0"/>
          <w:sz w:val="32"/>
          <w:szCs w:val="32"/>
          <w:highlight w:val="none"/>
          <w:lang w:eastAsia="zh-CN"/>
        </w:rPr>
        <w:t>讲师资格以来，应具备下列条件之三条，其中1、2条是必备条件：</w:t>
      </w:r>
      <w:r>
        <w:rPr>
          <w:rFonts w:hint="eastAsia" w:ascii="仿宋_GB2312" w:hAnsi="仿宋_GB2312" w:eastAsia="仿宋_GB2312" w:cs="仿宋_GB2312"/>
          <w:color w:val="000000"/>
          <w:kern w:val="0"/>
          <w:sz w:val="32"/>
          <w:szCs w:val="32"/>
          <w:highlight w:val="none"/>
          <w:lang w:eastAsia="zh-CN"/>
        </w:rPr>
        <w:br w:type="textWrapping"/>
      </w:r>
      <w:r>
        <w:rPr>
          <w:rFonts w:hint="eastAsia" w:ascii="仿宋_GB2312" w:hAnsi="仿宋_GB2312" w:eastAsia="仿宋_GB2312" w:cs="仿宋_GB2312"/>
          <w:color w:val="000000"/>
          <w:kern w:val="0"/>
          <w:sz w:val="32"/>
          <w:szCs w:val="32"/>
          <w:highlight w:val="none"/>
          <w:lang w:eastAsia="zh-CN"/>
        </w:rPr>
        <w:t>　　</w:t>
      </w:r>
      <w:r>
        <w:rPr>
          <w:rFonts w:hint="eastAsia" w:ascii="方正楷体_GB2312" w:hAnsi="方正楷体_GB2312" w:eastAsia="方正楷体_GB2312" w:cs="方正楷体_GB2312"/>
          <w:color w:val="000000"/>
          <w:kern w:val="0"/>
          <w:sz w:val="32"/>
          <w:szCs w:val="32"/>
          <w:highlight w:val="none"/>
          <w:lang w:eastAsia="zh-CN"/>
        </w:rPr>
        <w:t>（</w:t>
      </w:r>
      <w:r>
        <w:rPr>
          <w:rFonts w:hint="eastAsia" w:ascii="方正楷体_GB2312" w:hAnsi="方正楷体_GB2312" w:eastAsia="方正楷体_GB2312" w:cs="方正楷体_GB2312"/>
          <w:color w:val="000000"/>
          <w:kern w:val="0"/>
          <w:sz w:val="32"/>
          <w:szCs w:val="32"/>
          <w:highlight w:val="none"/>
          <w:lang w:val="en-US" w:eastAsia="zh-CN"/>
        </w:rPr>
        <w:t>一</w:t>
      </w:r>
      <w:r>
        <w:rPr>
          <w:rFonts w:hint="eastAsia" w:ascii="方正楷体_GB2312" w:hAnsi="方正楷体_GB2312" w:eastAsia="方正楷体_GB2312" w:cs="方正楷体_GB2312"/>
          <w:color w:val="000000"/>
          <w:kern w:val="0"/>
          <w:sz w:val="32"/>
          <w:szCs w:val="32"/>
          <w:highlight w:val="none"/>
          <w:lang w:eastAsia="zh-CN"/>
        </w:rPr>
        <w:t>）论文</w:t>
      </w:r>
      <w:r>
        <w:rPr>
          <w:rFonts w:hint="eastAsia" w:ascii="仿宋_GB2312" w:hAnsi="仿宋_GB2312" w:eastAsia="仿宋_GB2312" w:cs="仿宋_GB2312"/>
          <w:color w:val="000000"/>
          <w:kern w:val="0"/>
          <w:sz w:val="32"/>
          <w:szCs w:val="32"/>
          <w:highlight w:val="none"/>
          <w:lang w:eastAsia="zh-CN"/>
        </w:rPr>
        <w:br w:type="textWrapping"/>
      </w:r>
      <w:r>
        <w:rPr>
          <w:rFonts w:hint="eastAsia" w:ascii="仿宋_GB2312" w:hAnsi="仿宋_GB2312" w:eastAsia="仿宋_GB2312" w:cs="仿宋_GB2312"/>
          <w:color w:val="000000"/>
          <w:kern w:val="0"/>
          <w:sz w:val="32"/>
          <w:szCs w:val="32"/>
          <w:highlight w:val="none"/>
          <w:lang w:eastAsia="zh-CN"/>
        </w:rPr>
        <w:t>　　</w:t>
      </w:r>
      <w:r>
        <w:rPr>
          <w:rFonts w:hint="eastAsia" w:ascii="仿宋_GB2312" w:hAnsi="仿宋_GB2312" w:eastAsia="仿宋_GB2312" w:cs="仿宋_GB2312"/>
          <w:sz w:val="32"/>
          <w:szCs w:val="32"/>
          <w:highlight w:val="none"/>
          <w:lang w:val="en-US" w:eastAsia="zh-Hans" w:bidi="ar-SA"/>
        </w:rPr>
        <w:t>在公开发行的</w:t>
      </w:r>
      <w:r>
        <w:rPr>
          <w:rFonts w:hint="eastAsia" w:ascii="仿宋_GB2312" w:hAnsi="仿宋_GB2312" w:eastAsia="仿宋_GB2312" w:cs="仿宋_GB2312"/>
          <w:sz w:val="32"/>
          <w:szCs w:val="32"/>
          <w:highlight w:val="none"/>
          <w:lang w:val="en-US" w:eastAsia="zh-CN" w:bidi="ar-SA"/>
        </w:rPr>
        <w:t>期刊上发表研究报告、</w:t>
      </w:r>
      <w:r>
        <w:rPr>
          <w:rFonts w:hint="eastAsia" w:ascii="仿宋_GB2312" w:hAnsi="仿宋_GB2312" w:eastAsia="仿宋_GB2312" w:cs="仿宋_GB2312"/>
          <w:color w:val="auto"/>
          <w:sz w:val="32"/>
          <w:szCs w:val="32"/>
          <w:highlight w:val="none"/>
          <w:lang w:eastAsia="zh-Hans" w:bidi="ar-SA"/>
        </w:rPr>
        <w:t>论文至少1篇，</w:t>
      </w:r>
      <w:r>
        <w:rPr>
          <w:rFonts w:hint="eastAsia" w:ascii="仿宋_GB2312" w:hAnsi="仿宋_GB2312" w:eastAsia="仿宋_GB2312" w:cs="仿宋_GB2312"/>
          <w:color w:val="auto"/>
          <w:sz w:val="32"/>
          <w:szCs w:val="32"/>
          <w:highlight w:val="none"/>
          <w:lang w:val="en-US" w:eastAsia="zh-Hans" w:bidi="ar-SA"/>
        </w:rPr>
        <w:t>注重</w:t>
      </w:r>
      <w:r>
        <w:rPr>
          <w:rFonts w:hint="eastAsia" w:ascii="仿宋_GB2312" w:hAnsi="仿宋_GB2312" w:eastAsia="仿宋_GB2312" w:cs="仿宋_GB2312"/>
          <w:sz w:val="32"/>
          <w:szCs w:val="32"/>
          <w:highlight w:val="none"/>
          <w:lang w:val="en-US" w:eastAsia="zh-Hans" w:bidi="ar-SA"/>
        </w:rPr>
        <w:t>考察论文的质量、贡献与影响。</w:t>
      </w:r>
    </w:p>
    <w:p>
      <w:pPr>
        <w:pStyle w:val="8"/>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kern w:val="0"/>
          <w:sz w:val="32"/>
          <w:szCs w:val="32"/>
          <w:highlight w:val="none"/>
          <w:lang w:eastAsia="zh-CN"/>
        </w:rPr>
      </w:pPr>
      <w:r>
        <w:rPr>
          <w:rFonts w:hint="eastAsia" w:ascii="方正楷体_GB2312" w:hAnsi="方正楷体_GB2312" w:eastAsia="方正楷体_GB2312" w:cs="方正楷体_GB2312"/>
          <w:color w:val="000000"/>
          <w:kern w:val="0"/>
          <w:sz w:val="32"/>
          <w:szCs w:val="32"/>
          <w:highlight w:val="none"/>
          <w:u w:val="none"/>
          <w:shd w:val="clear" w:color="auto" w:fill="auto"/>
          <w:lang w:val="en-US" w:eastAsia="zh-CN" w:bidi="zh-TW"/>
        </w:rPr>
        <w:t>（二）</w:t>
      </w:r>
      <w:r>
        <w:rPr>
          <w:rFonts w:hint="eastAsia" w:ascii="方正楷体_GB2312" w:hAnsi="方正楷体_GB2312" w:eastAsia="方正楷体_GB2312" w:cs="方正楷体_GB2312"/>
          <w:color w:val="000000"/>
          <w:kern w:val="0"/>
          <w:sz w:val="32"/>
          <w:szCs w:val="32"/>
          <w:highlight w:val="none"/>
          <w:u w:val="none"/>
          <w:shd w:val="clear" w:color="auto" w:fill="auto"/>
          <w:lang w:val="en-US" w:eastAsia="zh-Hans" w:bidi="zh-TW"/>
        </w:rPr>
        <w:t>项目</w:t>
      </w:r>
      <w:r>
        <w:rPr>
          <w:rFonts w:hint="eastAsia" w:ascii="仿宋_GB2312" w:hAnsi="仿宋_GB2312" w:eastAsia="仿宋_GB2312" w:cs="仿宋_GB2312"/>
          <w:color w:val="000000"/>
          <w:kern w:val="0"/>
          <w:sz w:val="32"/>
          <w:szCs w:val="32"/>
          <w:highlight w:val="none"/>
          <w:lang w:val="en-US" w:eastAsia="zh-Hans"/>
        </w:rPr>
        <w:br w:type="textWrapping"/>
      </w:r>
      <w:r>
        <w:rPr>
          <w:rFonts w:hint="eastAsia" w:ascii="仿宋_GB2312" w:hAnsi="仿宋_GB2312" w:eastAsia="仿宋_GB2312" w:cs="仿宋_GB2312"/>
          <w:color w:val="000000"/>
          <w:kern w:val="0"/>
          <w:sz w:val="32"/>
          <w:szCs w:val="32"/>
          <w:highlight w:val="none"/>
          <w:lang w:val="en-US" w:eastAsia="zh-Hans"/>
        </w:rPr>
        <w:t>　　主持或参与（前5名）省部级（含</w:t>
      </w:r>
      <w:r>
        <w:rPr>
          <w:rFonts w:hint="eastAsia" w:ascii="仿宋_GB2312" w:hAnsi="仿宋_GB2312" w:eastAsia="仿宋_GB2312" w:cs="仿宋_GB2312"/>
          <w:color w:val="000000"/>
          <w:kern w:val="0"/>
          <w:sz w:val="32"/>
          <w:szCs w:val="32"/>
          <w:highlight w:val="none"/>
          <w:lang w:val="en-US" w:eastAsia="zh-CN"/>
        </w:rPr>
        <w:t>厅局级</w:t>
      </w:r>
      <w:r>
        <w:rPr>
          <w:rFonts w:hint="eastAsia" w:ascii="仿宋_GB2312" w:hAnsi="仿宋_GB2312" w:eastAsia="仿宋_GB2312" w:cs="仿宋_GB2312"/>
          <w:color w:val="000000"/>
          <w:kern w:val="0"/>
          <w:sz w:val="32"/>
          <w:szCs w:val="32"/>
          <w:highlight w:val="none"/>
          <w:lang w:val="en-US" w:eastAsia="zh-Hans"/>
        </w:rPr>
        <w:t>）教学、科研项目1项；或主持校级</w:t>
      </w:r>
      <w:r>
        <w:rPr>
          <w:rFonts w:hint="eastAsia" w:ascii="仿宋_GB2312" w:hAnsi="仿宋_GB2312" w:eastAsia="仿宋_GB2312" w:cs="仿宋_GB2312"/>
          <w:color w:val="000000"/>
          <w:kern w:val="0"/>
          <w:sz w:val="32"/>
          <w:szCs w:val="32"/>
          <w:highlight w:val="none"/>
          <w:lang w:val="en-US" w:eastAsia="zh-CN"/>
        </w:rPr>
        <w:t>及</w:t>
      </w:r>
      <w:r>
        <w:rPr>
          <w:rFonts w:hint="eastAsia" w:ascii="仿宋_GB2312" w:hAnsi="仿宋_GB2312" w:eastAsia="仿宋_GB2312" w:cs="仿宋_GB2312"/>
          <w:color w:val="000000"/>
          <w:kern w:val="0"/>
          <w:sz w:val="32"/>
          <w:szCs w:val="32"/>
          <w:highlight w:val="none"/>
          <w:lang w:val="en-US" w:eastAsia="zh-Hans"/>
        </w:rPr>
        <w:t>以上科研项目1项；或主持或参与（前3名）校级</w:t>
      </w:r>
      <w:r>
        <w:rPr>
          <w:rFonts w:hint="eastAsia" w:ascii="仿宋_GB2312" w:hAnsi="仿宋_GB2312" w:eastAsia="仿宋_GB2312" w:cs="仿宋_GB2312"/>
          <w:color w:val="000000"/>
          <w:kern w:val="0"/>
          <w:sz w:val="32"/>
          <w:szCs w:val="32"/>
          <w:highlight w:val="none"/>
          <w:lang w:val="en-US" w:eastAsia="zh-CN"/>
        </w:rPr>
        <w:t>及</w:t>
      </w:r>
      <w:r>
        <w:rPr>
          <w:rFonts w:hint="eastAsia" w:ascii="仿宋_GB2312" w:hAnsi="仿宋_GB2312" w:eastAsia="仿宋_GB2312" w:cs="仿宋_GB2312"/>
          <w:color w:val="000000"/>
          <w:kern w:val="0"/>
          <w:sz w:val="32"/>
          <w:szCs w:val="32"/>
          <w:highlight w:val="none"/>
          <w:lang w:val="en-US" w:eastAsia="zh-Hans"/>
        </w:rPr>
        <w:t>以上教育教学改革研究与实际项目项目1项。</w:t>
      </w:r>
      <w:r>
        <w:rPr>
          <w:rFonts w:hint="eastAsia" w:ascii="仿宋_GB2312" w:hAnsi="仿宋_GB2312" w:eastAsia="仿宋_GB2312" w:cs="仿宋_GB2312"/>
          <w:color w:val="000000"/>
          <w:kern w:val="0"/>
          <w:sz w:val="32"/>
          <w:szCs w:val="32"/>
          <w:highlight w:val="none"/>
          <w:lang w:val="en-US" w:eastAsia="zh-Hans"/>
        </w:rPr>
        <w:br w:type="textWrapping"/>
      </w:r>
      <w:r>
        <w:rPr>
          <w:rFonts w:hint="eastAsia" w:ascii="仿宋_GB2312" w:hAnsi="仿宋_GB2312" w:eastAsia="仿宋_GB2312" w:cs="仿宋_GB2312"/>
          <w:color w:val="000000"/>
          <w:kern w:val="0"/>
          <w:sz w:val="32"/>
          <w:szCs w:val="32"/>
          <w:highlight w:val="none"/>
          <w:lang w:eastAsia="zh-CN"/>
        </w:rPr>
        <w:t>　　</w:t>
      </w:r>
      <w:r>
        <w:rPr>
          <w:rFonts w:hint="eastAsia" w:ascii="方正楷体_GB2312" w:hAnsi="方正楷体_GB2312" w:eastAsia="方正楷体_GB2312" w:cs="方正楷体_GB2312"/>
          <w:color w:val="000000"/>
          <w:kern w:val="0"/>
          <w:sz w:val="32"/>
          <w:szCs w:val="32"/>
          <w:highlight w:val="none"/>
          <w:u w:val="none"/>
          <w:shd w:val="clear" w:color="auto" w:fill="auto"/>
          <w:lang w:val="zh-TW" w:eastAsia="zh-CN" w:bidi="zh-TW"/>
        </w:rPr>
        <w:t>（</w:t>
      </w:r>
      <w:r>
        <w:rPr>
          <w:rFonts w:hint="eastAsia" w:ascii="方正楷体_GB2312" w:hAnsi="方正楷体_GB2312" w:eastAsia="方正楷体_GB2312" w:cs="方正楷体_GB2312"/>
          <w:color w:val="000000"/>
          <w:kern w:val="0"/>
          <w:sz w:val="32"/>
          <w:szCs w:val="32"/>
          <w:highlight w:val="none"/>
          <w:u w:val="none"/>
          <w:shd w:val="clear" w:color="auto" w:fill="auto"/>
          <w:lang w:val="en-US" w:eastAsia="zh-CN" w:bidi="zh-TW"/>
        </w:rPr>
        <w:t>三</w:t>
      </w:r>
      <w:r>
        <w:rPr>
          <w:rFonts w:hint="eastAsia" w:ascii="方正楷体_GB2312" w:hAnsi="方正楷体_GB2312" w:eastAsia="方正楷体_GB2312" w:cs="方正楷体_GB2312"/>
          <w:color w:val="000000"/>
          <w:kern w:val="0"/>
          <w:sz w:val="32"/>
          <w:szCs w:val="32"/>
          <w:highlight w:val="none"/>
          <w:u w:val="none"/>
          <w:shd w:val="clear" w:color="auto" w:fill="auto"/>
          <w:lang w:val="zh-TW" w:eastAsia="zh-CN" w:bidi="zh-TW"/>
        </w:rPr>
        <w:t>）学生培养</w:t>
      </w:r>
      <w:r>
        <w:rPr>
          <w:rFonts w:hint="eastAsia" w:ascii="仿宋_GB2312" w:hAnsi="仿宋_GB2312" w:eastAsia="仿宋_GB2312" w:cs="仿宋_GB2312"/>
          <w:color w:val="000000"/>
          <w:kern w:val="0"/>
          <w:sz w:val="32"/>
          <w:szCs w:val="32"/>
          <w:highlight w:val="none"/>
          <w:lang w:eastAsia="zh-CN"/>
        </w:rPr>
        <w:br w:type="textWrapping"/>
      </w:r>
      <w:r>
        <w:rPr>
          <w:rFonts w:hint="eastAsia" w:ascii="仿宋_GB2312" w:hAnsi="仿宋_GB2312" w:eastAsia="仿宋_GB2312" w:cs="仿宋_GB2312"/>
          <w:color w:val="000000"/>
          <w:kern w:val="0"/>
          <w:sz w:val="32"/>
          <w:szCs w:val="32"/>
          <w:highlight w:val="none"/>
          <w:lang w:eastAsia="zh-CN"/>
        </w:rPr>
        <w:t>　　注重学生专业技能培训，直接指导的学生在省级以上专业艺术展演活动中获得自治区级二等奖1项或三等奖2项，或入围全国专业展演1项以上。</w:t>
      </w:r>
      <w:r>
        <w:rPr>
          <w:rFonts w:hint="eastAsia" w:ascii="仿宋_GB2312" w:hAnsi="仿宋_GB2312" w:eastAsia="仿宋_GB2312" w:cs="仿宋_GB2312"/>
          <w:color w:val="000000"/>
          <w:kern w:val="0"/>
          <w:sz w:val="32"/>
          <w:szCs w:val="32"/>
          <w:highlight w:val="none"/>
          <w:lang w:eastAsia="zh-CN"/>
        </w:rPr>
        <w:br w:type="textWrapping"/>
      </w:r>
      <w:r>
        <w:rPr>
          <w:rFonts w:hint="eastAsia" w:ascii="仿宋_GB2312" w:hAnsi="仿宋_GB2312" w:eastAsia="仿宋_GB2312" w:cs="仿宋_GB2312"/>
          <w:color w:val="000000"/>
          <w:kern w:val="0"/>
          <w:sz w:val="32"/>
          <w:szCs w:val="32"/>
          <w:highlight w:val="none"/>
          <w:lang w:eastAsia="zh-CN"/>
        </w:rPr>
        <w:t xml:space="preserve">    </w:t>
      </w:r>
      <w:r>
        <w:rPr>
          <w:rFonts w:hint="eastAsia" w:ascii="方正楷体_GB2312" w:hAnsi="方正楷体_GB2312" w:eastAsia="方正楷体_GB2312" w:cs="方正楷体_GB2312"/>
          <w:color w:val="000000"/>
          <w:kern w:val="0"/>
          <w:sz w:val="32"/>
          <w:szCs w:val="32"/>
          <w:highlight w:val="none"/>
          <w:u w:val="none"/>
          <w:shd w:val="clear" w:color="auto" w:fill="auto"/>
          <w:lang w:val="zh-TW" w:eastAsia="zh-CN" w:bidi="zh-TW"/>
        </w:rPr>
        <w:t>（</w:t>
      </w:r>
      <w:r>
        <w:rPr>
          <w:rFonts w:hint="eastAsia" w:ascii="方正楷体_GB2312" w:hAnsi="方正楷体_GB2312" w:eastAsia="方正楷体_GB2312" w:cs="方正楷体_GB2312"/>
          <w:color w:val="000000"/>
          <w:kern w:val="0"/>
          <w:sz w:val="32"/>
          <w:szCs w:val="32"/>
          <w:highlight w:val="none"/>
          <w:u w:val="none"/>
          <w:shd w:val="clear" w:color="auto" w:fill="auto"/>
          <w:lang w:val="en-US" w:eastAsia="zh-CN" w:bidi="zh-TW"/>
        </w:rPr>
        <w:t>四</w:t>
      </w:r>
      <w:r>
        <w:rPr>
          <w:rFonts w:hint="eastAsia" w:ascii="方正楷体_GB2312" w:hAnsi="方正楷体_GB2312" w:eastAsia="方正楷体_GB2312" w:cs="方正楷体_GB2312"/>
          <w:color w:val="000000"/>
          <w:kern w:val="0"/>
          <w:sz w:val="32"/>
          <w:szCs w:val="32"/>
          <w:highlight w:val="none"/>
          <w:u w:val="none"/>
          <w:shd w:val="clear" w:color="auto" w:fill="auto"/>
          <w:lang w:val="zh-TW" w:eastAsia="zh-CN" w:bidi="zh-TW"/>
        </w:rPr>
        <w:t>）个人技能</w:t>
      </w:r>
      <w:r>
        <w:rPr>
          <w:rFonts w:hint="eastAsia" w:ascii="仿宋_GB2312" w:hAnsi="仿宋_GB2312" w:eastAsia="仿宋_GB2312" w:cs="仿宋_GB2312"/>
          <w:color w:val="000000"/>
          <w:kern w:val="0"/>
          <w:sz w:val="32"/>
          <w:szCs w:val="32"/>
          <w:highlight w:val="none"/>
          <w:lang w:eastAsia="zh-CN"/>
        </w:rPr>
        <w:br w:type="textWrapping"/>
      </w:r>
      <w:r>
        <w:rPr>
          <w:rFonts w:hint="eastAsia" w:ascii="仿宋_GB2312" w:hAnsi="仿宋_GB2312" w:eastAsia="仿宋_GB2312" w:cs="仿宋_GB2312"/>
          <w:color w:val="000000"/>
          <w:kern w:val="0"/>
          <w:sz w:val="32"/>
          <w:szCs w:val="32"/>
          <w:highlight w:val="none"/>
          <w:lang w:eastAsia="zh-CN"/>
        </w:rPr>
        <w:t>　　专业素质和技能水平高，本人在表演、创作、设计、创编等专业竞赛中获得自治区级二等奖1项或三等奖2项；或创作、设计的作品参加盟市级以上专业性展览并被盟市级以上专业机构收藏或重大设计项目被采用或在自治区级以上专业刊物发表3件以上。</w:t>
      </w:r>
      <w:r>
        <w:rPr>
          <w:rFonts w:hint="eastAsia" w:ascii="仿宋_GB2312" w:hAnsi="仿宋_GB2312" w:eastAsia="仿宋_GB2312" w:cs="仿宋_GB2312"/>
          <w:color w:val="000000"/>
          <w:kern w:val="0"/>
          <w:sz w:val="32"/>
          <w:szCs w:val="32"/>
          <w:highlight w:val="none"/>
          <w:lang w:eastAsia="zh-CN"/>
        </w:rPr>
        <w:br w:type="textWrapping"/>
      </w:r>
      <w:r>
        <w:rPr>
          <w:rFonts w:hint="eastAsia" w:ascii="仿宋_GB2312" w:hAnsi="仿宋_GB2312" w:eastAsia="仿宋_GB2312" w:cs="仿宋_GB2312"/>
          <w:color w:val="000000"/>
          <w:kern w:val="0"/>
          <w:sz w:val="32"/>
          <w:szCs w:val="32"/>
          <w:highlight w:val="none"/>
          <w:lang w:eastAsia="zh-CN"/>
        </w:rPr>
        <w:t>　　</w:t>
      </w:r>
      <w:r>
        <w:rPr>
          <w:rFonts w:hint="eastAsia" w:ascii="方正楷体_GB2312" w:hAnsi="方正楷体_GB2312" w:eastAsia="方正楷体_GB2312" w:cs="方正楷体_GB2312"/>
          <w:color w:val="000000"/>
          <w:kern w:val="0"/>
          <w:sz w:val="32"/>
          <w:szCs w:val="32"/>
          <w:highlight w:val="none"/>
          <w:u w:val="none"/>
          <w:shd w:val="clear" w:color="auto" w:fill="auto"/>
          <w:lang w:val="zh-TW" w:eastAsia="zh-CN" w:bidi="zh-TW"/>
        </w:rPr>
        <w:t>（</w:t>
      </w:r>
      <w:r>
        <w:rPr>
          <w:rFonts w:hint="eastAsia" w:ascii="方正楷体_GB2312" w:hAnsi="方正楷体_GB2312" w:eastAsia="方正楷体_GB2312" w:cs="方正楷体_GB2312"/>
          <w:color w:val="000000"/>
          <w:kern w:val="0"/>
          <w:sz w:val="32"/>
          <w:szCs w:val="32"/>
          <w:highlight w:val="none"/>
          <w:u w:val="none"/>
          <w:shd w:val="clear" w:color="auto" w:fill="auto"/>
          <w:lang w:val="en-US" w:eastAsia="zh-CN" w:bidi="zh-TW"/>
        </w:rPr>
        <w:t>五</w:t>
      </w:r>
      <w:r>
        <w:rPr>
          <w:rFonts w:hint="eastAsia" w:ascii="方正楷体_GB2312" w:hAnsi="方正楷体_GB2312" w:eastAsia="方正楷体_GB2312" w:cs="方正楷体_GB2312"/>
          <w:color w:val="000000"/>
          <w:kern w:val="0"/>
          <w:sz w:val="32"/>
          <w:szCs w:val="32"/>
          <w:highlight w:val="none"/>
          <w:u w:val="none"/>
          <w:shd w:val="clear" w:color="auto" w:fill="auto"/>
          <w:lang w:val="zh-TW" w:eastAsia="zh-CN" w:bidi="zh-TW"/>
        </w:rPr>
        <w:t>）著作</w:t>
      </w:r>
      <w:r>
        <w:rPr>
          <w:rFonts w:hint="eastAsia" w:ascii="仿宋_GB2312" w:hAnsi="仿宋_GB2312" w:eastAsia="仿宋_GB2312" w:cs="仿宋_GB2312"/>
          <w:color w:val="000000"/>
          <w:kern w:val="0"/>
          <w:sz w:val="32"/>
          <w:szCs w:val="32"/>
          <w:highlight w:val="none"/>
          <w:lang w:eastAsia="zh-CN"/>
        </w:rPr>
        <w:br w:type="textWrapping"/>
      </w:r>
      <w:r>
        <w:rPr>
          <w:rFonts w:hint="eastAsia" w:ascii="仿宋_GB2312" w:hAnsi="仿宋_GB2312" w:eastAsia="仿宋_GB2312" w:cs="仿宋_GB2312"/>
          <w:color w:val="000000"/>
          <w:kern w:val="0"/>
          <w:sz w:val="32"/>
          <w:szCs w:val="32"/>
          <w:highlight w:val="none"/>
          <w:lang w:eastAsia="zh-CN"/>
        </w:rPr>
        <w:t>　　出版与从事专业一致的著作1部，本人撰写部分，字数不少于5万字，如果是几部著作累加，字数不少于8万字。著作应是本人承担科研、教研（教改）项目或本人多年学术研究系列论文积累形成的最终结果。</w:t>
      </w:r>
      <w:r>
        <w:rPr>
          <w:rFonts w:hint="eastAsia" w:ascii="仿宋_GB2312" w:hAnsi="仿宋_GB2312" w:eastAsia="仿宋_GB2312" w:cs="仿宋_GB2312"/>
          <w:color w:val="000000"/>
          <w:kern w:val="0"/>
          <w:sz w:val="32"/>
          <w:szCs w:val="32"/>
          <w:highlight w:val="none"/>
          <w:lang w:eastAsia="zh-CN"/>
        </w:rPr>
        <w:br w:type="textWrapping"/>
      </w:r>
      <w:r>
        <w:rPr>
          <w:rFonts w:hint="eastAsia" w:ascii="仿宋_GB2312" w:hAnsi="仿宋_GB2312" w:eastAsia="仿宋_GB2312" w:cs="仿宋_GB2312"/>
          <w:color w:val="000000"/>
          <w:kern w:val="0"/>
          <w:sz w:val="32"/>
          <w:szCs w:val="32"/>
          <w:highlight w:val="none"/>
          <w:lang w:eastAsia="zh-CN"/>
        </w:rPr>
        <w:t>　　</w:t>
      </w:r>
      <w:r>
        <w:rPr>
          <w:rFonts w:hint="eastAsia" w:ascii="方正楷体_GB2312" w:hAnsi="方正楷体_GB2312" w:eastAsia="方正楷体_GB2312" w:cs="方正楷体_GB2312"/>
          <w:color w:val="000000"/>
          <w:kern w:val="0"/>
          <w:sz w:val="32"/>
          <w:szCs w:val="32"/>
          <w:highlight w:val="none"/>
          <w:u w:val="none"/>
          <w:shd w:val="clear" w:color="auto" w:fill="auto"/>
          <w:lang w:val="zh-TW" w:eastAsia="zh-CN" w:bidi="zh-TW"/>
        </w:rPr>
        <w:t>（</w:t>
      </w:r>
      <w:r>
        <w:rPr>
          <w:rFonts w:hint="eastAsia" w:ascii="方正楷体_GB2312" w:hAnsi="方正楷体_GB2312" w:eastAsia="方正楷体_GB2312" w:cs="方正楷体_GB2312"/>
          <w:color w:val="000000"/>
          <w:kern w:val="0"/>
          <w:sz w:val="32"/>
          <w:szCs w:val="32"/>
          <w:highlight w:val="none"/>
          <w:u w:val="none"/>
          <w:shd w:val="clear" w:color="auto" w:fill="auto"/>
          <w:lang w:val="en-US" w:eastAsia="zh-CN" w:bidi="zh-TW"/>
        </w:rPr>
        <w:t>六</w:t>
      </w:r>
      <w:r>
        <w:rPr>
          <w:rFonts w:hint="eastAsia" w:ascii="方正楷体_GB2312" w:hAnsi="方正楷体_GB2312" w:eastAsia="方正楷体_GB2312" w:cs="方正楷体_GB2312"/>
          <w:color w:val="000000"/>
          <w:kern w:val="0"/>
          <w:sz w:val="32"/>
          <w:szCs w:val="32"/>
          <w:highlight w:val="none"/>
          <w:u w:val="none"/>
          <w:shd w:val="clear" w:color="auto" w:fill="auto"/>
          <w:lang w:val="zh-TW" w:eastAsia="zh-CN" w:bidi="zh-TW"/>
        </w:rPr>
        <w:t>）教材</w:t>
      </w:r>
      <w:r>
        <w:rPr>
          <w:rFonts w:hint="eastAsia" w:ascii="仿宋_GB2312" w:hAnsi="仿宋_GB2312" w:eastAsia="仿宋_GB2312" w:cs="仿宋_GB2312"/>
          <w:color w:val="000000"/>
          <w:kern w:val="0"/>
          <w:sz w:val="32"/>
          <w:szCs w:val="32"/>
          <w:highlight w:val="none"/>
          <w:lang w:eastAsia="zh-CN"/>
        </w:rPr>
        <w:br w:type="textWrapping"/>
      </w:r>
      <w:r>
        <w:rPr>
          <w:rFonts w:hint="eastAsia" w:ascii="仿宋_GB2312" w:hAnsi="仿宋_GB2312" w:eastAsia="仿宋_GB2312" w:cs="仿宋_GB2312"/>
          <w:color w:val="000000"/>
          <w:kern w:val="0"/>
          <w:sz w:val="32"/>
          <w:szCs w:val="32"/>
          <w:highlight w:val="none"/>
          <w:lang w:eastAsia="zh-CN"/>
        </w:rPr>
        <w:t>　　主编或参编与所授课程相关的教材，本人编写字数在</w:t>
      </w:r>
      <w:r>
        <w:rPr>
          <w:rFonts w:hint="eastAsia" w:ascii="仿宋_GB2312" w:hAnsi="仿宋_GB2312" w:eastAsia="仿宋_GB2312" w:cs="仿宋_GB2312"/>
          <w:color w:val="000000"/>
          <w:kern w:val="0"/>
          <w:sz w:val="32"/>
          <w:szCs w:val="32"/>
          <w:highlight w:val="none"/>
          <w:lang w:val="en-US" w:eastAsia="zh-CN"/>
        </w:rPr>
        <w:t>3</w:t>
      </w:r>
      <w:r>
        <w:rPr>
          <w:rFonts w:hint="eastAsia" w:ascii="仿宋_GB2312" w:hAnsi="仿宋_GB2312" w:eastAsia="仿宋_GB2312" w:cs="仿宋_GB2312"/>
          <w:color w:val="000000"/>
          <w:kern w:val="0"/>
          <w:sz w:val="32"/>
          <w:szCs w:val="32"/>
          <w:highlight w:val="none"/>
          <w:lang w:eastAsia="zh-CN"/>
        </w:rPr>
        <w:t>万字以上。</w:t>
      </w:r>
      <w:r>
        <w:rPr>
          <w:rFonts w:hint="eastAsia" w:ascii="仿宋_GB2312" w:hAnsi="仿宋_GB2312" w:eastAsia="仿宋_GB2312" w:cs="仿宋_GB2312"/>
          <w:color w:val="000000"/>
          <w:kern w:val="0"/>
          <w:sz w:val="32"/>
          <w:szCs w:val="32"/>
          <w:highlight w:val="none"/>
          <w:lang w:eastAsia="zh-CN"/>
        </w:rPr>
        <w:br w:type="textWrapping"/>
      </w:r>
      <w:r>
        <w:rPr>
          <w:rFonts w:hint="eastAsia" w:ascii="仿宋_GB2312" w:hAnsi="仿宋_GB2312" w:eastAsia="仿宋_GB2312" w:cs="仿宋_GB2312"/>
          <w:color w:val="000000"/>
          <w:kern w:val="0"/>
          <w:sz w:val="32"/>
          <w:szCs w:val="32"/>
          <w:highlight w:val="none"/>
          <w:lang w:eastAsia="zh-CN"/>
        </w:rPr>
        <w:t>　　</w:t>
      </w:r>
      <w:r>
        <w:rPr>
          <w:rFonts w:hint="eastAsia" w:ascii="方正楷体_GB2312" w:hAnsi="方正楷体_GB2312" w:eastAsia="方正楷体_GB2312" w:cs="方正楷体_GB2312"/>
          <w:color w:val="000000"/>
          <w:kern w:val="0"/>
          <w:sz w:val="32"/>
          <w:szCs w:val="32"/>
          <w:highlight w:val="none"/>
          <w:u w:val="none"/>
          <w:shd w:val="clear" w:color="auto" w:fill="auto"/>
          <w:lang w:val="zh-TW" w:eastAsia="zh-CN" w:bidi="zh-TW"/>
        </w:rPr>
        <w:t>（</w:t>
      </w:r>
      <w:r>
        <w:rPr>
          <w:rFonts w:hint="eastAsia" w:ascii="方正楷体_GB2312" w:hAnsi="方正楷体_GB2312" w:eastAsia="方正楷体_GB2312" w:cs="方正楷体_GB2312"/>
          <w:color w:val="000000"/>
          <w:kern w:val="0"/>
          <w:sz w:val="32"/>
          <w:szCs w:val="32"/>
          <w:highlight w:val="none"/>
          <w:u w:val="none"/>
          <w:shd w:val="clear" w:color="auto" w:fill="auto"/>
          <w:lang w:val="en-US" w:eastAsia="zh-CN" w:bidi="zh-TW"/>
        </w:rPr>
        <w:t>七</w:t>
      </w:r>
      <w:r>
        <w:rPr>
          <w:rFonts w:hint="eastAsia" w:ascii="方正楷体_GB2312" w:hAnsi="方正楷体_GB2312" w:eastAsia="方正楷体_GB2312" w:cs="方正楷体_GB2312"/>
          <w:color w:val="000000"/>
          <w:kern w:val="0"/>
          <w:sz w:val="32"/>
          <w:szCs w:val="32"/>
          <w:highlight w:val="none"/>
          <w:u w:val="none"/>
          <w:shd w:val="clear" w:color="auto" w:fill="auto"/>
          <w:lang w:val="zh-TW" w:eastAsia="zh-CN" w:bidi="zh-TW"/>
        </w:rPr>
        <w:t>）教学奖</w:t>
      </w:r>
      <w:r>
        <w:rPr>
          <w:rFonts w:hint="eastAsia" w:ascii="仿宋_GB2312" w:hAnsi="仿宋_GB2312" w:eastAsia="仿宋_GB2312" w:cs="仿宋_GB2312"/>
          <w:color w:val="000000"/>
          <w:kern w:val="0"/>
          <w:sz w:val="32"/>
          <w:szCs w:val="32"/>
          <w:highlight w:val="none"/>
          <w:lang w:eastAsia="zh-CN"/>
        </w:rPr>
        <w:br w:type="textWrapping"/>
      </w:r>
      <w:r>
        <w:rPr>
          <w:rFonts w:hint="eastAsia" w:ascii="仿宋_GB2312" w:hAnsi="仿宋_GB2312" w:eastAsia="仿宋_GB2312" w:cs="仿宋_GB2312"/>
          <w:color w:val="000000"/>
          <w:kern w:val="0"/>
          <w:sz w:val="32"/>
          <w:szCs w:val="32"/>
          <w:highlight w:val="none"/>
          <w:lang w:eastAsia="zh-CN"/>
        </w:rPr>
        <w:t>　　获国家优秀教学成果奖1项（额定人员），或自治区优秀教学成果一等奖1项（前5名），或二、三等奖各1项（前3名）；或获</w:t>
      </w:r>
      <w:r>
        <w:rPr>
          <w:rFonts w:hint="eastAsia" w:ascii="仿宋_GB2312" w:hAnsi="仿宋_GB2312" w:eastAsia="仿宋_GB2312" w:cs="仿宋_GB2312"/>
          <w:kern w:val="0"/>
          <w:sz w:val="32"/>
          <w:szCs w:val="32"/>
          <w:highlight w:val="none"/>
          <w:lang w:eastAsia="zh-CN"/>
        </w:rPr>
        <w:t>自治区</w:t>
      </w:r>
      <w:r>
        <w:rPr>
          <w:rFonts w:hint="eastAsia" w:ascii="仿宋_GB2312" w:hAnsi="仿宋_GB2312" w:eastAsia="仿宋_GB2312" w:cs="仿宋_GB2312"/>
          <w:kern w:val="0"/>
          <w:sz w:val="32"/>
          <w:szCs w:val="32"/>
          <w:highlight w:val="none"/>
          <w:lang w:val="en-US" w:eastAsia="zh-Hans"/>
        </w:rPr>
        <w:t>教师教学创新大赛</w:t>
      </w:r>
      <w:r>
        <w:rPr>
          <w:rFonts w:hint="eastAsia" w:ascii="仿宋_GB2312" w:hAnsi="仿宋_GB2312" w:eastAsia="仿宋_GB2312" w:cs="仿宋_GB2312"/>
          <w:kern w:val="0"/>
          <w:sz w:val="32"/>
          <w:szCs w:val="32"/>
          <w:highlight w:val="none"/>
          <w:lang w:eastAsia="zh-Hans"/>
        </w:rPr>
        <w:t>、</w:t>
      </w:r>
      <w:r>
        <w:rPr>
          <w:rFonts w:hint="eastAsia" w:ascii="仿宋_GB2312" w:hAnsi="仿宋_GB2312" w:eastAsia="仿宋_GB2312" w:cs="仿宋_GB2312"/>
          <w:kern w:val="0"/>
          <w:sz w:val="32"/>
          <w:szCs w:val="32"/>
          <w:highlight w:val="none"/>
          <w:lang w:val="en-US" w:eastAsia="zh-Hans"/>
        </w:rPr>
        <w:t>自治区课程思政大赛</w:t>
      </w:r>
      <w:r>
        <w:rPr>
          <w:rFonts w:hint="eastAsia" w:ascii="仿宋_GB2312" w:hAnsi="仿宋_GB2312" w:eastAsia="仿宋_GB2312" w:cs="仿宋_GB2312"/>
          <w:kern w:val="0"/>
          <w:sz w:val="32"/>
          <w:szCs w:val="32"/>
          <w:highlight w:val="none"/>
          <w:lang w:eastAsia="zh-Hans"/>
        </w:rPr>
        <w:t>、</w:t>
      </w:r>
      <w:r>
        <w:rPr>
          <w:rFonts w:hint="eastAsia" w:ascii="仿宋_GB2312" w:hAnsi="仿宋_GB2312" w:eastAsia="仿宋_GB2312" w:cs="仿宋_GB2312"/>
          <w:kern w:val="0"/>
          <w:sz w:val="32"/>
          <w:szCs w:val="32"/>
          <w:highlight w:val="none"/>
          <w:lang w:eastAsia="zh-CN"/>
        </w:rPr>
        <w:t>自治区青年教师课堂教学技艺大赛二</w:t>
      </w:r>
      <w:r>
        <w:rPr>
          <w:rFonts w:hint="eastAsia" w:ascii="仿宋_GB2312" w:hAnsi="仿宋_GB2312" w:eastAsia="仿宋_GB2312" w:cs="仿宋_GB2312"/>
          <w:color w:val="000000"/>
          <w:kern w:val="0"/>
          <w:sz w:val="32"/>
          <w:szCs w:val="32"/>
          <w:highlight w:val="none"/>
          <w:lang w:eastAsia="zh-CN"/>
        </w:rPr>
        <w:t>等奖</w:t>
      </w:r>
      <w:r>
        <w:rPr>
          <w:rFonts w:hint="eastAsia" w:ascii="仿宋_GB2312" w:hAnsi="仿宋_GB2312" w:eastAsia="仿宋_GB2312" w:cs="仿宋_GB2312"/>
          <w:color w:val="000000"/>
          <w:kern w:val="0"/>
          <w:sz w:val="32"/>
          <w:szCs w:val="32"/>
          <w:highlight w:val="none"/>
          <w:lang w:val="en-US" w:eastAsia="zh-Hans"/>
        </w:rPr>
        <w:t>及</w:t>
      </w:r>
      <w:r>
        <w:rPr>
          <w:rFonts w:hint="eastAsia" w:ascii="仿宋_GB2312" w:hAnsi="仿宋_GB2312" w:eastAsia="仿宋_GB2312" w:cs="仿宋_GB2312"/>
          <w:color w:val="000000"/>
          <w:kern w:val="0"/>
          <w:sz w:val="32"/>
          <w:szCs w:val="32"/>
          <w:highlight w:val="none"/>
          <w:lang w:eastAsia="zh-CN"/>
        </w:rPr>
        <w:t>以上奖励。</w:t>
      </w:r>
      <w:r>
        <w:rPr>
          <w:rFonts w:hint="eastAsia" w:ascii="仿宋_GB2312" w:hAnsi="仿宋_GB2312" w:eastAsia="仿宋_GB2312" w:cs="仿宋_GB2312"/>
          <w:color w:val="000000"/>
          <w:kern w:val="0"/>
          <w:sz w:val="32"/>
          <w:szCs w:val="32"/>
          <w:highlight w:val="none"/>
          <w:lang w:eastAsia="zh-CN"/>
        </w:rPr>
        <w:br w:type="textWrapping"/>
      </w:r>
      <w:r>
        <w:rPr>
          <w:rFonts w:hint="eastAsia" w:ascii="仿宋_GB2312" w:hAnsi="仿宋_GB2312" w:eastAsia="仿宋_GB2312" w:cs="仿宋_GB2312"/>
          <w:color w:val="000000"/>
          <w:kern w:val="0"/>
          <w:sz w:val="32"/>
          <w:szCs w:val="32"/>
          <w:highlight w:val="none"/>
          <w:lang w:eastAsia="zh-CN"/>
        </w:rPr>
        <w:t>　　</w:t>
      </w:r>
      <w:r>
        <w:rPr>
          <w:rFonts w:hint="eastAsia" w:ascii="方正楷体_GB2312" w:hAnsi="方正楷体_GB2312" w:eastAsia="方正楷体_GB2312" w:cs="方正楷体_GB2312"/>
          <w:color w:val="000000"/>
          <w:kern w:val="0"/>
          <w:sz w:val="32"/>
          <w:szCs w:val="32"/>
          <w:highlight w:val="none"/>
          <w:u w:val="none"/>
          <w:shd w:val="clear" w:color="auto" w:fill="auto"/>
          <w:lang w:val="zh-TW" w:eastAsia="zh-CN" w:bidi="zh-TW"/>
        </w:rPr>
        <w:t>（</w:t>
      </w:r>
      <w:r>
        <w:rPr>
          <w:rFonts w:hint="eastAsia" w:ascii="方正楷体_GB2312" w:hAnsi="方正楷体_GB2312" w:eastAsia="方正楷体_GB2312" w:cs="方正楷体_GB2312"/>
          <w:color w:val="000000"/>
          <w:kern w:val="0"/>
          <w:sz w:val="32"/>
          <w:szCs w:val="32"/>
          <w:highlight w:val="none"/>
          <w:u w:val="none"/>
          <w:shd w:val="clear" w:color="auto" w:fill="auto"/>
          <w:lang w:val="en-US" w:eastAsia="zh-CN" w:bidi="zh-TW"/>
        </w:rPr>
        <w:t>八</w:t>
      </w:r>
      <w:r>
        <w:rPr>
          <w:rFonts w:hint="eastAsia" w:ascii="方正楷体_GB2312" w:hAnsi="方正楷体_GB2312" w:eastAsia="方正楷体_GB2312" w:cs="方正楷体_GB2312"/>
          <w:color w:val="000000"/>
          <w:kern w:val="0"/>
          <w:sz w:val="32"/>
          <w:szCs w:val="32"/>
          <w:highlight w:val="none"/>
          <w:u w:val="none"/>
          <w:shd w:val="clear" w:color="auto" w:fill="auto"/>
          <w:lang w:val="zh-TW" w:eastAsia="zh-CN" w:bidi="zh-TW"/>
        </w:rPr>
        <w:t>）科研奖</w:t>
      </w:r>
    </w:p>
    <w:p>
      <w:pPr>
        <w:pStyle w:val="8"/>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kern w:val="0"/>
          <w:sz w:val="32"/>
          <w:szCs w:val="32"/>
          <w:highlight w:val="none"/>
          <w:lang w:eastAsia="zh-CN"/>
        </w:rPr>
      </w:pPr>
      <w:r>
        <w:rPr>
          <w:rFonts w:hint="eastAsia" w:ascii="仿宋_GB2312" w:hAnsi="仿宋_GB2312" w:eastAsia="仿宋_GB2312" w:cs="仿宋_GB2312"/>
          <w:kern w:val="0"/>
          <w:sz w:val="32"/>
          <w:szCs w:val="32"/>
          <w:highlight w:val="none"/>
          <w:lang w:eastAsia="zh-CN"/>
        </w:rPr>
        <w:t>国家、部委、自治区、厅局和学校等教育、文化、宣传、科研主管部门常设的学术成果奖项，全国或省、市、自治区文联及下属协会常设的学术成果奖项</w:t>
      </w:r>
      <w:r>
        <w:rPr>
          <w:rFonts w:hint="eastAsia" w:ascii="仿宋_GB2312" w:hAnsi="仿宋_GB2312" w:eastAsia="仿宋_GB2312" w:cs="仿宋_GB2312"/>
          <w:kern w:val="0"/>
          <w:sz w:val="32"/>
          <w:szCs w:val="32"/>
          <w:highlight w:val="none"/>
          <w:lang w:val="en-US" w:eastAsia="zh-CN"/>
        </w:rPr>
        <w:t>中的A、B、C、D级成果奖项</w:t>
      </w:r>
      <w:r>
        <w:rPr>
          <w:rFonts w:hint="eastAsia" w:ascii="仿宋_GB2312" w:hAnsi="仿宋_GB2312" w:eastAsia="仿宋_GB2312" w:cs="仿宋_GB2312"/>
          <w:kern w:val="0"/>
          <w:sz w:val="32"/>
          <w:szCs w:val="32"/>
          <w:highlight w:val="none"/>
          <w:lang w:eastAsia="zh-CN"/>
        </w:rPr>
        <w:t>。</w:t>
      </w:r>
      <w:r>
        <w:rPr>
          <w:rFonts w:hint="eastAsia" w:ascii="仿宋_GB2312" w:hAnsi="仿宋_GB2312" w:eastAsia="仿宋_GB2312" w:cs="仿宋_GB2312"/>
          <w:kern w:val="0"/>
          <w:sz w:val="32"/>
          <w:szCs w:val="32"/>
          <w:highlight w:val="none"/>
          <w:lang w:val="en-US" w:eastAsia="zh-CN"/>
        </w:rPr>
        <w:t>其中A级奖项按全体获奖成员认定，B级奖项按获奖人员前5名认定，C级奖项按获奖人员前3名认定，D级奖项按获奖人员排名第1名认定。</w:t>
      </w:r>
      <w:r>
        <w:rPr>
          <w:rFonts w:hint="eastAsia" w:ascii="仿宋_GB2312" w:hAnsi="仿宋_GB2312" w:eastAsia="仿宋_GB2312" w:cs="仿宋_GB2312"/>
          <w:kern w:val="0"/>
          <w:sz w:val="32"/>
          <w:szCs w:val="32"/>
          <w:highlight w:val="none"/>
          <w:lang w:eastAsia="zh-CN"/>
        </w:rPr>
        <w:t>获奖认定仅限成果获奖，不含人物获奖(称号),以获奖证书原件为认定依据。</w:t>
      </w:r>
    </w:p>
    <w:p>
      <w:pPr>
        <w:pStyle w:val="8"/>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kern w:val="0"/>
          <w:sz w:val="32"/>
          <w:szCs w:val="32"/>
          <w:highlight w:val="none"/>
          <w:lang w:eastAsia="zh-CN"/>
        </w:rPr>
      </w:pPr>
      <w:r>
        <w:rPr>
          <w:rFonts w:hint="eastAsia" w:ascii="方正楷体_GB2312" w:hAnsi="方正楷体_GB2312" w:eastAsia="方正楷体_GB2312" w:cs="方正楷体_GB2312"/>
          <w:color w:val="000000"/>
          <w:kern w:val="0"/>
          <w:sz w:val="32"/>
          <w:szCs w:val="32"/>
          <w:highlight w:val="none"/>
          <w:u w:val="none"/>
          <w:shd w:val="clear" w:color="auto" w:fill="auto"/>
          <w:lang w:val="zh-TW" w:eastAsia="zh-CN" w:bidi="zh-TW"/>
        </w:rPr>
        <w:t>（</w:t>
      </w:r>
      <w:r>
        <w:rPr>
          <w:rFonts w:hint="eastAsia" w:ascii="方正楷体_GB2312" w:hAnsi="方正楷体_GB2312" w:eastAsia="方正楷体_GB2312" w:cs="方正楷体_GB2312"/>
          <w:color w:val="000000"/>
          <w:kern w:val="0"/>
          <w:sz w:val="32"/>
          <w:szCs w:val="32"/>
          <w:highlight w:val="none"/>
          <w:u w:val="none"/>
          <w:shd w:val="clear" w:color="auto" w:fill="auto"/>
          <w:lang w:val="en-US" w:eastAsia="zh-CN" w:bidi="zh-TW"/>
        </w:rPr>
        <w:t>九</w:t>
      </w:r>
      <w:r>
        <w:rPr>
          <w:rFonts w:hint="eastAsia" w:ascii="方正楷体_GB2312" w:hAnsi="方正楷体_GB2312" w:eastAsia="方正楷体_GB2312" w:cs="方正楷体_GB2312"/>
          <w:color w:val="000000"/>
          <w:kern w:val="0"/>
          <w:sz w:val="32"/>
          <w:szCs w:val="32"/>
          <w:highlight w:val="none"/>
          <w:u w:val="none"/>
          <w:shd w:val="clear" w:color="auto" w:fill="auto"/>
          <w:lang w:val="zh-TW" w:eastAsia="zh-CN" w:bidi="zh-TW"/>
        </w:rPr>
        <w:t>）艺术奖</w:t>
      </w:r>
      <w:r>
        <w:rPr>
          <w:rFonts w:hint="eastAsia" w:ascii="仿宋_GB2312" w:hAnsi="仿宋_GB2312" w:eastAsia="仿宋_GB2312" w:cs="仿宋_GB2312"/>
          <w:color w:val="000000"/>
          <w:kern w:val="0"/>
          <w:sz w:val="32"/>
          <w:szCs w:val="32"/>
          <w:highlight w:val="none"/>
          <w:lang w:eastAsia="zh-CN"/>
        </w:rPr>
        <w:br w:type="textWrapping"/>
      </w:r>
      <w:r>
        <w:rPr>
          <w:rFonts w:hint="eastAsia" w:ascii="仿宋_GB2312" w:hAnsi="仿宋_GB2312" w:eastAsia="仿宋_GB2312" w:cs="仿宋_GB2312"/>
          <w:color w:val="000000"/>
          <w:kern w:val="0"/>
          <w:sz w:val="32"/>
          <w:szCs w:val="32"/>
          <w:highlight w:val="none"/>
          <w:lang w:eastAsia="zh-CN"/>
        </w:rPr>
        <w:t>　　被评为自治区级文学艺术“索</w:t>
      </w:r>
      <w:r>
        <w:rPr>
          <w:rFonts w:hint="eastAsia" w:ascii="仿宋_GB2312" w:hAnsi="仿宋_GB2312" w:eastAsia="仿宋_GB2312" w:cs="仿宋_GB2312"/>
          <w:color w:val="000000"/>
          <w:kern w:val="0"/>
          <w:sz w:val="32"/>
          <w:szCs w:val="32"/>
          <w:highlight w:val="none"/>
          <w:lang w:val="en-US" w:eastAsia="zh-CN"/>
        </w:rPr>
        <w:t>龙</w:t>
      </w:r>
      <w:r>
        <w:rPr>
          <w:rFonts w:hint="eastAsia" w:ascii="仿宋_GB2312" w:hAnsi="仿宋_GB2312" w:eastAsia="仿宋_GB2312" w:cs="仿宋_GB2312"/>
          <w:color w:val="000000"/>
          <w:kern w:val="0"/>
          <w:sz w:val="32"/>
          <w:szCs w:val="32"/>
          <w:highlight w:val="none"/>
          <w:lang w:eastAsia="zh-CN"/>
        </w:rPr>
        <w:t>嘎”奖或“萨日</w:t>
      </w:r>
      <w:r>
        <w:rPr>
          <w:rFonts w:hint="eastAsia" w:ascii="仿宋_GB2312" w:hAnsi="仿宋_GB2312" w:eastAsia="仿宋_GB2312" w:cs="仿宋_GB2312"/>
          <w:color w:val="000000"/>
          <w:kern w:val="0"/>
          <w:sz w:val="32"/>
          <w:szCs w:val="32"/>
          <w:highlight w:val="none"/>
          <w:lang w:val="en-US" w:eastAsia="zh-CN"/>
        </w:rPr>
        <w:t>纳</w:t>
      </w:r>
      <w:r>
        <w:rPr>
          <w:rFonts w:hint="eastAsia" w:ascii="仿宋_GB2312" w:hAnsi="仿宋_GB2312" w:eastAsia="仿宋_GB2312" w:cs="仿宋_GB2312"/>
          <w:color w:val="000000"/>
          <w:kern w:val="0"/>
          <w:sz w:val="32"/>
          <w:szCs w:val="32"/>
          <w:highlight w:val="none"/>
          <w:lang w:eastAsia="zh-CN"/>
        </w:rPr>
        <w:t>”奖或“骏马”奖或“五个一工程”奖或“</w:t>
      </w:r>
      <w:r>
        <w:rPr>
          <w:rFonts w:hint="eastAsia" w:ascii="仿宋_GB2312" w:hAnsi="仿宋_GB2312" w:eastAsia="仿宋_GB2312" w:cs="仿宋_GB2312"/>
          <w:color w:val="000000"/>
          <w:kern w:val="0"/>
          <w:sz w:val="32"/>
          <w:szCs w:val="32"/>
          <w:highlight w:val="none"/>
          <w:lang w:val="en-US" w:eastAsia="zh-CN"/>
        </w:rPr>
        <w:t>内蒙古</w:t>
      </w:r>
      <w:r>
        <w:rPr>
          <w:rFonts w:hint="eastAsia" w:ascii="仿宋_GB2312" w:hAnsi="仿宋_GB2312" w:eastAsia="仿宋_GB2312" w:cs="仿宋_GB2312"/>
          <w:color w:val="000000"/>
          <w:kern w:val="0"/>
          <w:sz w:val="32"/>
          <w:szCs w:val="32"/>
          <w:highlight w:val="none"/>
          <w:lang w:eastAsia="zh-CN"/>
        </w:rPr>
        <w:t>美术</w:t>
      </w:r>
      <w:r>
        <w:rPr>
          <w:rFonts w:hint="eastAsia" w:ascii="仿宋_GB2312" w:hAnsi="仿宋_GB2312" w:eastAsia="仿宋_GB2312" w:cs="仿宋_GB2312"/>
          <w:color w:val="000000"/>
          <w:kern w:val="0"/>
          <w:sz w:val="32"/>
          <w:szCs w:val="32"/>
          <w:highlight w:val="none"/>
          <w:lang w:val="en-US" w:eastAsia="zh-CN"/>
        </w:rPr>
        <w:t>作品</w:t>
      </w:r>
      <w:r>
        <w:rPr>
          <w:rFonts w:hint="eastAsia" w:ascii="仿宋_GB2312" w:hAnsi="仿宋_GB2312" w:eastAsia="仿宋_GB2312" w:cs="仿宋_GB2312"/>
          <w:color w:val="000000"/>
          <w:kern w:val="0"/>
          <w:sz w:val="32"/>
          <w:szCs w:val="32"/>
          <w:highlight w:val="none"/>
          <w:lang w:eastAsia="zh-CN"/>
        </w:rPr>
        <w:t>展览”二等奖</w:t>
      </w:r>
      <w:r>
        <w:rPr>
          <w:rFonts w:hint="eastAsia" w:ascii="仿宋_GB2312" w:hAnsi="仿宋_GB2312" w:eastAsia="仿宋_GB2312" w:cs="仿宋_GB2312"/>
          <w:color w:val="000000"/>
          <w:kern w:val="0"/>
          <w:sz w:val="32"/>
          <w:szCs w:val="32"/>
          <w:highlight w:val="none"/>
          <w:lang w:val="en-US" w:eastAsia="zh-Hans"/>
        </w:rPr>
        <w:t>及</w:t>
      </w:r>
      <w:r>
        <w:rPr>
          <w:rFonts w:hint="eastAsia" w:ascii="仿宋_GB2312" w:hAnsi="仿宋_GB2312" w:eastAsia="仿宋_GB2312" w:cs="仿宋_GB2312"/>
          <w:color w:val="000000"/>
          <w:kern w:val="0"/>
          <w:sz w:val="32"/>
          <w:szCs w:val="32"/>
          <w:highlight w:val="none"/>
          <w:lang w:eastAsia="zh-CN"/>
        </w:rPr>
        <w:t>以上、或“分赛区青年歌手电视大奖赛”二等奖</w:t>
      </w:r>
      <w:r>
        <w:rPr>
          <w:rFonts w:hint="eastAsia" w:ascii="仿宋_GB2312" w:hAnsi="仿宋_GB2312" w:eastAsia="仿宋_GB2312" w:cs="仿宋_GB2312"/>
          <w:color w:val="000000"/>
          <w:kern w:val="0"/>
          <w:sz w:val="32"/>
          <w:szCs w:val="32"/>
          <w:highlight w:val="none"/>
          <w:lang w:val="en-US" w:eastAsia="zh-Hans"/>
        </w:rPr>
        <w:t>及</w:t>
      </w:r>
      <w:r>
        <w:rPr>
          <w:rFonts w:hint="eastAsia" w:ascii="仿宋_GB2312" w:hAnsi="仿宋_GB2312" w:eastAsia="仿宋_GB2312" w:cs="仿宋_GB2312"/>
          <w:color w:val="000000"/>
          <w:kern w:val="0"/>
          <w:sz w:val="32"/>
          <w:szCs w:val="32"/>
          <w:highlight w:val="none"/>
          <w:lang w:eastAsia="zh-CN"/>
        </w:rPr>
        <w:t>以上奖励。</w:t>
      </w:r>
    </w:p>
    <w:p>
      <w:pPr>
        <w:pStyle w:val="7"/>
        <w:keepNext/>
        <w:keepLines/>
        <w:pageBreakBefore w:val="0"/>
        <w:widowControl w:val="0"/>
        <w:kinsoku/>
        <w:wordWrap/>
        <w:overflowPunct/>
        <w:topLinePunct w:val="0"/>
        <w:autoSpaceDE/>
        <w:autoSpaceDN/>
        <w:bidi w:val="0"/>
        <w:adjustRightInd/>
        <w:snapToGrid/>
        <w:spacing w:before="0" w:after="0" w:line="560" w:lineRule="exact"/>
        <w:ind w:firstLine="640" w:firstLineChars="200"/>
        <w:jc w:val="left"/>
        <w:textAlignment w:val="auto"/>
        <w:outlineLvl w:val="9"/>
        <w:rPr>
          <w:rFonts w:hint="eastAsia" w:ascii="仿宋_GB2312" w:hAnsi="仿宋_GB2312" w:eastAsia="仿宋_GB2312" w:cs="仿宋_GB2312"/>
          <w:color w:val="000000"/>
          <w:kern w:val="0"/>
          <w:sz w:val="32"/>
          <w:szCs w:val="32"/>
          <w:highlight w:val="none"/>
          <w:lang w:eastAsia="zh-CN"/>
        </w:rPr>
      </w:pPr>
      <w:r>
        <w:rPr>
          <w:rFonts w:hint="eastAsia" w:ascii="方正楷体_GB2312" w:hAnsi="方正楷体_GB2312" w:eastAsia="方正楷体_GB2312" w:cs="方正楷体_GB2312"/>
          <w:color w:val="000000"/>
          <w:kern w:val="0"/>
          <w:sz w:val="32"/>
          <w:szCs w:val="32"/>
          <w:highlight w:val="none"/>
          <w:lang w:eastAsia="zh-CN"/>
        </w:rPr>
        <w:t>（</w:t>
      </w:r>
      <w:r>
        <w:rPr>
          <w:rFonts w:hint="eastAsia" w:ascii="方正楷体_GB2312" w:hAnsi="方正楷体_GB2312" w:eastAsia="方正楷体_GB2312" w:cs="方正楷体_GB2312"/>
          <w:color w:val="000000"/>
          <w:kern w:val="0"/>
          <w:sz w:val="32"/>
          <w:szCs w:val="32"/>
          <w:highlight w:val="none"/>
          <w:lang w:val="en-US" w:eastAsia="zh-CN"/>
        </w:rPr>
        <w:t>十</w:t>
      </w:r>
      <w:r>
        <w:rPr>
          <w:rFonts w:hint="eastAsia" w:ascii="方正楷体_GB2312" w:hAnsi="方正楷体_GB2312" w:eastAsia="方正楷体_GB2312" w:cs="方正楷体_GB2312"/>
          <w:color w:val="000000"/>
          <w:kern w:val="0"/>
          <w:sz w:val="32"/>
          <w:szCs w:val="32"/>
          <w:highlight w:val="none"/>
          <w:lang w:eastAsia="zh-CN"/>
        </w:rPr>
        <w:t>）科研成果转化或推广</w:t>
      </w:r>
      <w:r>
        <w:rPr>
          <w:rFonts w:hint="eastAsia" w:ascii="仿宋_GB2312" w:hAnsi="仿宋_GB2312" w:eastAsia="仿宋_GB2312" w:cs="仿宋_GB2312"/>
          <w:color w:val="000000"/>
          <w:kern w:val="0"/>
          <w:sz w:val="32"/>
          <w:szCs w:val="32"/>
          <w:highlight w:val="none"/>
          <w:lang w:eastAsia="zh-CN"/>
        </w:rPr>
        <w:br w:type="textWrapping"/>
      </w:r>
      <w:r>
        <w:rPr>
          <w:rFonts w:hint="eastAsia" w:ascii="仿宋_GB2312" w:hAnsi="仿宋_GB2312" w:eastAsia="仿宋_GB2312" w:cs="仿宋_GB2312"/>
          <w:color w:val="000000"/>
          <w:kern w:val="0"/>
          <w:sz w:val="32"/>
          <w:szCs w:val="32"/>
          <w:highlight w:val="none"/>
          <w:lang w:eastAsia="zh-CN"/>
        </w:rPr>
        <w:t>　　在科研成果转化、科学技术推广方面取得一定成果，具有经济效益或社会效益。包括参与（前3名）省级单位委托的调研咨询项目，成果被采用并产生社会或经济效益（以政府部门采信的批示原件为认定依据）；取得的国际、国家专利认证机构授权的各类职务发明创造的专利；及由该专利持有人所完成的具有实质性经济、社会效益的生产性、应用性转让（以专利授权证书、国务院专利行政部门公告、专利转让合同、转让经费到账证明等为认定依据）。</w:t>
      </w:r>
    </w:p>
    <w:p>
      <w:pPr>
        <w:pStyle w:val="8"/>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方正楷体_GB2312" w:hAnsi="方正楷体_GB2312" w:eastAsia="方正楷体_GB2312" w:cs="方正楷体_GB2312"/>
          <w:color w:val="000000"/>
          <w:kern w:val="0"/>
          <w:sz w:val="32"/>
          <w:szCs w:val="32"/>
          <w:highlight w:val="none"/>
          <w:u w:val="none"/>
          <w:shd w:val="clear" w:color="auto" w:fill="auto"/>
          <w:lang w:val="en-US" w:eastAsia="zh-Hans" w:bidi="zh-TW"/>
        </w:rPr>
      </w:pPr>
      <w:r>
        <w:rPr>
          <w:rFonts w:hint="eastAsia" w:ascii="方正楷体_GB2312" w:hAnsi="方正楷体_GB2312" w:eastAsia="方正楷体_GB2312" w:cs="方正楷体_GB2312"/>
          <w:color w:val="000000"/>
          <w:kern w:val="0"/>
          <w:sz w:val="32"/>
          <w:szCs w:val="32"/>
          <w:highlight w:val="none"/>
          <w:u w:val="none"/>
          <w:shd w:val="clear" w:color="auto" w:fill="auto"/>
          <w:lang w:val="zh-TW" w:eastAsia="zh-CN" w:bidi="zh-TW"/>
        </w:rPr>
        <w:t>（</w:t>
      </w:r>
      <w:r>
        <w:rPr>
          <w:rFonts w:hint="eastAsia" w:ascii="方正楷体_GB2312" w:hAnsi="方正楷体_GB2312" w:eastAsia="方正楷体_GB2312" w:cs="方正楷体_GB2312"/>
          <w:color w:val="000000"/>
          <w:kern w:val="0"/>
          <w:sz w:val="32"/>
          <w:szCs w:val="32"/>
          <w:highlight w:val="none"/>
          <w:u w:val="none"/>
          <w:shd w:val="clear" w:color="auto" w:fill="auto"/>
          <w:lang w:val="en-US" w:eastAsia="zh-CN" w:bidi="zh-TW"/>
        </w:rPr>
        <w:t>十一</w:t>
      </w:r>
      <w:r>
        <w:rPr>
          <w:rFonts w:hint="eastAsia" w:ascii="方正楷体_GB2312" w:hAnsi="方正楷体_GB2312" w:eastAsia="方正楷体_GB2312" w:cs="方正楷体_GB2312"/>
          <w:color w:val="000000"/>
          <w:kern w:val="0"/>
          <w:sz w:val="32"/>
          <w:szCs w:val="32"/>
          <w:highlight w:val="none"/>
          <w:u w:val="none"/>
          <w:shd w:val="clear" w:color="auto" w:fill="auto"/>
          <w:lang w:val="zh-TW" w:eastAsia="zh-CN" w:bidi="zh-TW"/>
        </w:rPr>
        <w:t>）</w:t>
      </w:r>
      <w:r>
        <w:rPr>
          <w:rFonts w:hint="eastAsia" w:ascii="方正楷体_GB2312" w:hAnsi="方正楷体_GB2312" w:eastAsia="方正楷体_GB2312" w:cs="方正楷体_GB2312"/>
          <w:color w:val="000000"/>
          <w:kern w:val="0"/>
          <w:sz w:val="32"/>
          <w:szCs w:val="32"/>
          <w:highlight w:val="none"/>
          <w:u w:val="none"/>
          <w:shd w:val="clear" w:color="auto" w:fill="auto"/>
          <w:lang w:val="en-US" w:eastAsia="zh-Hans" w:bidi="zh-TW"/>
        </w:rPr>
        <w:t>体育比赛</w:t>
      </w:r>
    </w:p>
    <w:p>
      <w:pPr>
        <w:pStyle w:val="7"/>
        <w:keepNext/>
        <w:keepLines/>
        <w:pageBreakBefore w:val="0"/>
        <w:widowControl w:val="0"/>
        <w:kinsoku/>
        <w:wordWrap/>
        <w:overflowPunct/>
        <w:topLinePunct w:val="0"/>
        <w:autoSpaceDE/>
        <w:autoSpaceDN/>
        <w:bidi w:val="0"/>
        <w:adjustRightInd/>
        <w:snapToGrid/>
        <w:spacing w:before="0" w:after="0" w:line="560" w:lineRule="exact"/>
        <w:ind w:firstLine="640" w:firstLineChars="200"/>
        <w:jc w:val="left"/>
        <w:textAlignment w:val="auto"/>
        <w:outlineLvl w:val="9"/>
        <w:rPr>
          <w:rFonts w:hint="eastAsia" w:ascii="仿宋_GB2312" w:hAnsi="仿宋_GB2312" w:eastAsia="仿宋_GB2312" w:cs="仿宋_GB2312"/>
          <w:color w:val="000000"/>
          <w:kern w:val="0"/>
          <w:sz w:val="32"/>
          <w:szCs w:val="32"/>
          <w:highlight w:val="none"/>
          <w:lang w:eastAsia="zh-CN"/>
        </w:rPr>
      </w:pPr>
      <w:r>
        <w:rPr>
          <w:rFonts w:hint="eastAsia" w:ascii="仿宋_GB2312" w:hAnsi="仿宋_GB2312" w:eastAsia="仿宋_GB2312" w:cs="仿宋_GB2312"/>
          <w:color w:val="000000"/>
          <w:kern w:val="0"/>
          <w:sz w:val="32"/>
          <w:szCs w:val="32"/>
          <w:highlight w:val="none"/>
          <w:lang w:eastAsia="zh-CN"/>
        </w:rPr>
        <w:t>本人或作为主教练、主管教练其学生在全国单项赛、全国大学生运动会单项赛中获得前8名1次以上；或在自治区全运会、自治区大学生运动会比赛中获得前3名1次以上。</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Autospacing="0" w:line="560" w:lineRule="exact"/>
        <w:ind w:left="0" w:right="0" w:firstLine="640" w:firstLineChars="200"/>
        <w:jc w:val="both"/>
        <w:textAlignment w:val="auto"/>
        <w:rPr>
          <w:rFonts w:hint="eastAsia" w:ascii="黑体" w:hAnsi="黑体" w:eastAsia="黑体" w:cs="黑体"/>
          <w:b w:val="0"/>
          <w:bCs/>
          <w:kern w:val="0"/>
          <w:sz w:val="32"/>
          <w:szCs w:val="32"/>
          <w:highlight w:val="none"/>
          <w:lang w:val="en-US"/>
        </w:rPr>
      </w:pPr>
      <w:r>
        <w:rPr>
          <w:rFonts w:hint="eastAsia" w:ascii="黑体" w:hAnsi="黑体" w:eastAsia="黑体" w:cs="黑体"/>
          <w:b w:val="0"/>
          <w:bCs/>
          <w:kern w:val="0"/>
          <w:sz w:val="32"/>
          <w:szCs w:val="32"/>
          <w:highlight w:val="none"/>
          <w:lang w:val="en-US" w:eastAsia="zh-CN" w:bidi="ar"/>
        </w:rPr>
        <w:t>三、申报讲师资格</w:t>
      </w:r>
    </w:p>
    <w:p>
      <w:pPr>
        <w:keepNext w:val="0"/>
        <w:keepLines w:val="0"/>
        <w:pageBreakBefore w:val="0"/>
        <w:widowControl w:val="0"/>
        <w:suppressLineNumbers w:val="0"/>
        <w:tabs>
          <w:tab w:val="left" w:pos="6352"/>
        </w:tabs>
        <w:kinsoku/>
        <w:wordWrap/>
        <w:overflowPunct/>
        <w:topLinePunct w:val="0"/>
        <w:autoSpaceDE/>
        <w:autoSpaceDN/>
        <w:bidi w:val="0"/>
        <w:adjustRightInd/>
        <w:snapToGrid/>
        <w:spacing w:before="0" w:beforeAutospacing="0" w:afterAutospacing="0" w:line="560" w:lineRule="exact"/>
        <w:ind w:left="0" w:right="0" w:firstLine="640" w:firstLineChars="200"/>
        <w:jc w:val="both"/>
        <w:textAlignment w:val="auto"/>
        <w:rPr>
          <w:rFonts w:hint="eastAsia" w:ascii="仿宋_GB2312" w:hAnsi="仿宋_GB2312" w:eastAsia="仿宋_GB2312" w:cs="仿宋_GB2312"/>
          <w:kern w:val="0"/>
          <w:sz w:val="32"/>
          <w:szCs w:val="32"/>
          <w:highlight w:val="none"/>
          <w:lang w:val="en-US"/>
        </w:rPr>
      </w:pPr>
      <w:r>
        <w:rPr>
          <w:rFonts w:hint="eastAsia" w:ascii="仿宋_GB2312" w:hAnsi="仿宋_GB2312" w:eastAsia="仿宋_GB2312" w:cs="仿宋_GB2312"/>
          <w:kern w:val="0"/>
          <w:sz w:val="32"/>
          <w:szCs w:val="32"/>
          <w:highlight w:val="none"/>
          <w:lang w:val="en-US" w:eastAsia="zh-CN" w:bidi="ar"/>
        </w:rPr>
        <w:t>申报讲师资格需具备下列教学、科研业绩条件：</w:t>
      </w:r>
    </w:p>
    <w:p>
      <w:pPr>
        <w:keepNext w:val="0"/>
        <w:keepLines w:val="0"/>
        <w:pageBreakBefore w:val="0"/>
        <w:widowControl w:val="0"/>
        <w:suppressLineNumbers w:val="0"/>
        <w:tabs>
          <w:tab w:val="left" w:pos="6352"/>
        </w:tabs>
        <w:kinsoku/>
        <w:wordWrap/>
        <w:overflowPunct/>
        <w:topLinePunct w:val="0"/>
        <w:autoSpaceDE/>
        <w:autoSpaceDN/>
        <w:bidi w:val="0"/>
        <w:adjustRightInd/>
        <w:snapToGrid/>
        <w:spacing w:before="0" w:beforeAutospacing="0" w:afterAutospacing="0" w:line="560" w:lineRule="exact"/>
        <w:ind w:left="0" w:right="0" w:firstLine="640" w:firstLineChars="200"/>
        <w:jc w:val="both"/>
        <w:textAlignment w:val="auto"/>
        <w:rPr>
          <w:rFonts w:hint="eastAsia" w:ascii="仿宋_GB2312" w:hAnsi="仿宋_GB2312" w:eastAsia="仿宋_GB2312" w:cs="仿宋_GB2312"/>
          <w:b/>
          <w:bCs w:val="0"/>
          <w:kern w:val="0"/>
          <w:sz w:val="32"/>
          <w:szCs w:val="32"/>
          <w:highlight w:val="none"/>
          <w:lang w:val="en-US"/>
        </w:rPr>
      </w:pPr>
      <w:r>
        <w:rPr>
          <w:rFonts w:hint="eastAsia" w:ascii="仿宋_GB2312" w:hAnsi="仿宋_GB2312" w:eastAsia="仿宋_GB2312" w:cs="仿宋_GB2312"/>
          <w:kern w:val="0"/>
          <w:sz w:val="32"/>
          <w:szCs w:val="32"/>
          <w:highlight w:val="none"/>
          <w:lang w:val="en-US" w:eastAsia="zh-CN" w:bidi="ar"/>
        </w:rPr>
        <w:t>（一）掌握基本的教学理念和教学方法，教学基本功扎实，教学态度端正，教学效果良好。将思想政治教育较好融入教学，在学生培养工作中做出积极贡献。</w:t>
      </w:r>
    </w:p>
    <w:p>
      <w:pPr>
        <w:keepNext w:val="0"/>
        <w:keepLines w:val="0"/>
        <w:pageBreakBefore w:val="0"/>
        <w:widowControl w:val="0"/>
        <w:suppressLineNumbers w:val="0"/>
        <w:tabs>
          <w:tab w:val="left" w:pos="6352"/>
        </w:tabs>
        <w:kinsoku/>
        <w:wordWrap/>
        <w:overflowPunct/>
        <w:topLinePunct w:val="0"/>
        <w:autoSpaceDE/>
        <w:autoSpaceDN/>
        <w:bidi w:val="0"/>
        <w:adjustRightInd/>
        <w:snapToGrid/>
        <w:spacing w:before="0" w:beforeAutospacing="0" w:afterAutospacing="0" w:line="560" w:lineRule="exact"/>
        <w:ind w:left="0" w:right="0" w:firstLine="640" w:firstLineChars="200"/>
        <w:jc w:val="both"/>
        <w:textAlignment w:val="auto"/>
        <w:rPr>
          <w:rFonts w:hint="eastAsia" w:ascii="仿宋_GB2312" w:hAnsi="仿宋_GB2312" w:eastAsia="仿宋_GB2312" w:cs="仿宋_GB2312"/>
          <w:b/>
          <w:bCs w:val="0"/>
          <w:kern w:val="0"/>
          <w:sz w:val="32"/>
          <w:szCs w:val="32"/>
          <w:highlight w:val="none"/>
          <w:lang w:val="en-US"/>
        </w:rPr>
      </w:pPr>
      <w:r>
        <w:rPr>
          <w:rFonts w:hint="eastAsia" w:ascii="仿宋_GB2312" w:hAnsi="仿宋_GB2312" w:eastAsia="仿宋_GB2312" w:cs="仿宋_GB2312"/>
          <w:kern w:val="0"/>
          <w:sz w:val="32"/>
          <w:szCs w:val="32"/>
          <w:highlight w:val="none"/>
          <w:lang w:val="en-US" w:eastAsia="zh-CN" w:bidi="ar"/>
        </w:rPr>
        <w:t>（二）系统担任过1门以上课程的讲授工作，完成教学工作量，教学综合评价良好以上，须具备下列第1—5中的一项：</w:t>
      </w:r>
    </w:p>
    <w:p>
      <w:pPr>
        <w:keepNext w:val="0"/>
        <w:keepLines w:val="0"/>
        <w:pageBreakBefore w:val="0"/>
        <w:widowControl w:val="0"/>
        <w:suppressLineNumbers w:val="0"/>
        <w:tabs>
          <w:tab w:val="left" w:pos="6352"/>
        </w:tabs>
        <w:kinsoku/>
        <w:wordWrap/>
        <w:overflowPunct/>
        <w:topLinePunct w:val="0"/>
        <w:autoSpaceDE/>
        <w:autoSpaceDN/>
        <w:bidi w:val="0"/>
        <w:adjustRightInd/>
        <w:snapToGrid/>
        <w:spacing w:before="0" w:beforeAutospacing="0" w:afterAutospacing="0" w:line="560" w:lineRule="exact"/>
        <w:ind w:left="0" w:right="0" w:firstLine="640" w:firstLineChars="200"/>
        <w:jc w:val="both"/>
        <w:textAlignment w:val="auto"/>
        <w:rPr>
          <w:rFonts w:hint="eastAsia" w:ascii="仿宋_GB2312" w:hAnsi="仿宋_GB2312" w:eastAsia="仿宋_GB2312" w:cs="仿宋_GB2312"/>
          <w:b/>
          <w:bCs w:val="0"/>
          <w:kern w:val="0"/>
          <w:sz w:val="32"/>
          <w:szCs w:val="32"/>
          <w:highlight w:val="none"/>
          <w:lang w:val="en-US"/>
        </w:rPr>
      </w:pPr>
      <w:r>
        <w:rPr>
          <w:rFonts w:hint="eastAsia" w:ascii="仿宋_GB2312" w:hAnsi="仿宋_GB2312" w:eastAsia="仿宋_GB2312" w:cs="仿宋_GB2312"/>
          <w:kern w:val="0"/>
          <w:sz w:val="32"/>
          <w:szCs w:val="32"/>
          <w:highlight w:val="none"/>
          <w:lang w:val="en-US" w:eastAsia="zh-CN" w:bidi="ar"/>
        </w:rPr>
        <w:t>1.</w:t>
      </w:r>
      <w:r>
        <w:rPr>
          <w:rFonts w:hint="eastAsia" w:ascii="仿宋_GB2312" w:hAnsi="仿宋_GB2312" w:eastAsia="仿宋_GB2312" w:cs="仿宋_GB2312"/>
          <w:sz w:val="32"/>
          <w:szCs w:val="32"/>
          <w:highlight w:val="none"/>
          <w:lang w:val="en-US" w:eastAsia="zh-Hans" w:bidi="ar-SA"/>
        </w:rPr>
        <w:t>在公开发行的</w:t>
      </w:r>
      <w:r>
        <w:rPr>
          <w:rFonts w:hint="eastAsia" w:ascii="仿宋_GB2312" w:hAnsi="仿宋_GB2312" w:eastAsia="仿宋_GB2312" w:cs="仿宋_GB2312"/>
          <w:sz w:val="32"/>
          <w:szCs w:val="32"/>
          <w:highlight w:val="none"/>
          <w:lang w:val="en-US" w:eastAsia="zh-CN" w:bidi="ar-SA"/>
        </w:rPr>
        <w:t>期刊上</w:t>
      </w:r>
      <w:r>
        <w:rPr>
          <w:rFonts w:hint="eastAsia" w:ascii="仿宋_GB2312" w:hAnsi="仿宋_GB2312" w:eastAsia="仿宋_GB2312" w:cs="仿宋_GB2312"/>
          <w:kern w:val="0"/>
          <w:sz w:val="32"/>
          <w:szCs w:val="32"/>
          <w:highlight w:val="none"/>
          <w:lang w:val="en-US" w:eastAsia="zh-CN" w:bidi="ar"/>
        </w:rPr>
        <w:t>发表教学研究或本学科学术论文1篇以上。</w:t>
      </w:r>
    </w:p>
    <w:p>
      <w:pPr>
        <w:keepNext w:val="0"/>
        <w:keepLines w:val="0"/>
        <w:pageBreakBefore w:val="0"/>
        <w:widowControl w:val="0"/>
        <w:suppressLineNumbers w:val="0"/>
        <w:tabs>
          <w:tab w:val="left" w:pos="6352"/>
        </w:tabs>
        <w:kinsoku/>
        <w:wordWrap/>
        <w:overflowPunct/>
        <w:topLinePunct w:val="0"/>
        <w:autoSpaceDE/>
        <w:autoSpaceDN/>
        <w:bidi w:val="0"/>
        <w:adjustRightInd/>
        <w:snapToGrid/>
        <w:spacing w:before="0" w:beforeAutospacing="0" w:afterAutospacing="0" w:line="560" w:lineRule="exact"/>
        <w:ind w:left="0" w:right="0" w:firstLine="640" w:firstLineChars="200"/>
        <w:jc w:val="both"/>
        <w:textAlignment w:val="auto"/>
        <w:rPr>
          <w:rFonts w:hint="eastAsia" w:ascii="仿宋_GB2312" w:hAnsi="仿宋_GB2312" w:eastAsia="仿宋_GB2312" w:cs="仿宋_GB2312"/>
          <w:b/>
          <w:bCs w:val="0"/>
          <w:kern w:val="0"/>
          <w:sz w:val="32"/>
          <w:szCs w:val="32"/>
          <w:highlight w:val="none"/>
          <w:lang w:val="en-US"/>
        </w:rPr>
      </w:pPr>
      <w:r>
        <w:rPr>
          <w:rFonts w:hint="eastAsia" w:ascii="仿宋_GB2312" w:hAnsi="仿宋_GB2312" w:eastAsia="仿宋_GB2312" w:cs="仿宋_GB2312"/>
          <w:kern w:val="0"/>
          <w:sz w:val="32"/>
          <w:szCs w:val="32"/>
          <w:highlight w:val="none"/>
          <w:lang w:val="en-US" w:eastAsia="zh-CN" w:bidi="ar"/>
        </w:rPr>
        <w:t>2.参与校级以上教学、科研项目1项（前2名）以上；或自治区级以上科研项目1项（前5名）以上；或校级以上教学质量工程研究项目1项（前5名）以上；或参与学校人才培养项目1项（发挥重要作用）以上。</w:t>
      </w:r>
    </w:p>
    <w:p>
      <w:pPr>
        <w:keepNext w:val="0"/>
        <w:keepLines w:val="0"/>
        <w:pageBreakBefore w:val="0"/>
        <w:widowControl w:val="0"/>
        <w:suppressLineNumbers w:val="0"/>
        <w:tabs>
          <w:tab w:val="left" w:pos="6352"/>
        </w:tabs>
        <w:kinsoku/>
        <w:wordWrap/>
        <w:overflowPunct/>
        <w:topLinePunct w:val="0"/>
        <w:autoSpaceDE/>
        <w:autoSpaceDN/>
        <w:bidi w:val="0"/>
        <w:adjustRightInd/>
        <w:snapToGrid/>
        <w:spacing w:before="0" w:beforeAutospacing="0" w:afterAutospacing="0" w:line="560" w:lineRule="exact"/>
        <w:ind w:left="0" w:right="0" w:firstLine="640" w:firstLineChars="200"/>
        <w:jc w:val="both"/>
        <w:textAlignment w:val="auto"/>
        <w:rPr>
          <w:rFonts w:hint="eastAsia" w:ascii="仿宋_GB2312" w:hAnsi="仿宋_GB2312" w:eastAsia="仿宋_GB2312" w:cs="仿宋_GB2312"/>
          <w:b/>
          <w:bCs w:val="0"/>
          <w:kern w:val="0"/>
          <w:sz w:val="32"/>
          <w:szCs w:val="32"/>
          <w:highlight w:val="none"/>
          <w:lang w:val="en-US"/>
        </w:rPr>
      </w:pPr>
      <w:r>
        <w:rPr>
          <w:rFonts w:hint="eastAsia" w:ascii="仿宋_GB2312" w:hAnsi="仿宋_GB2312" w:eastAsia="仿宋_GB2312" w:cs="仿宋_GB2312"/>
          <w:kern w:val="0"/>
          <w:sz w:val="32"/>
          <w:szCs w:val="32"/>
          <w:highlight w:val="none"/>
          <w:lang w:val="en-US" w:eastAsia="zh-CN" w:bidi="ar"/>
        </w:rPr>
        <w:t>3.获得校级以上教学奖励1次以上。</w:t>
      </w:r>
    </w:p>
    <w:p>
      <w:pPr>
        <w:keepNext w:val="0"/>
        <w:keepLines w:val="0"/>
        <w:pageBreakBefore w:val="0"/>
        <w:widowControl w:val="0"/>
        <w:suppressLineNumbers w:val="0"/>
        <w:tabs>
          <w:tab w:val="left" w:pos="6352"/>
        </w:tabs>
        <w:kinsoku/>
        <w:wordWrap/>
        <w:overflowPunct/>
        <w:topLinePunct w:val="0"/>
        <w:autoSpaceDE/>
        <w:autoSpaceDN/>
        <w:bidi w:val="0"/>
        <w:adjustRightInd/>
        <w:snapToGrid/>
        <w:spacing w:before="0" w:beforeAutospacing="0" w:afterAutospacing="0" w:line="560" w:lineRule="exact"/>
        <w:ind w:left="0" w:right="0" w:firstLine="640" w:firstLineChars="200"/>
        <w:jc w:val="both"/>
        <w:textAlignment w:val="auto"/>
        <w:rPr>
          <w:rFonts w:hint="eastAsia" w:ascii="仿宋_GB2312" w:hAnsi="仿宋_GB2312" w:eastAsia="仿宋_GB2312" w:cs="仿宋_GB2312"/>
          <w:b/>
          <w:bCs w:val="0"/>
          <w:kern w:val="0"/>
          <w:sz w:val="32"/>
          <w:szCs w:val="32"/>
          <w:highlight w:val="none"/>
          <w:lang w:val="en-US"/>
        </w:rPr>
      </w:pPr>
      <w:r>
        <w:rPr>
          <w:rFonts w:hint="eastAsia" w:ascii="仿宋_GB2312" w:hAnsi="仿宋_GB2312" w:eastAsia="仿宋_GB2312" w:cs="仿宋_GB2312"/>
          <w:kern w:val="0"/>
          <w:sz w:val="32"/>
          <w:szCs w:val="32"/>
          <w:highlight w:val="none"/>
          <w:lang w:val="en-US" w:eastAsia="zh-CN" w:bidi="ar"/>
        </w:rPr>
        <w:t>4.获得校级以上表演、创作、设计、编导等专业竞赛奖1项以上。</w:t>
      </w:r>
    </w:p>
    <w:p>
      <w:pPr>
        <w:keepNext w:val="0"/>
        <w:keepLines w:val="0"/>
        <w:pageBreakBefore w:val="0"/>
        <w:widowControl w:val="0"/>
        <w:suppressLineNumbers w:val="0"/>
        <w:tabs>
          <w:tab w:val="left" w:pos="6352"/>
        </w:tabs>
        <w:kinsoku/>
        <w:wordWrap/>
        <w:overflowPunct/>
        <w:topLinePunct w:val="0"/>
        <w:autoSpaceDE/>
        <w:autoSpaceDN/>
        <w:bidi w:val="0"/>
        <w:adjustRightInd/>
        <w:snapToGrid/>
        <w:spacing w:before="0" w:beforeAutospacing="0" w:afterAutospacing="0" w:line="560" w:lineRule="exact"/>
        <w:ind w:left="0" w:right="0" w:firstLine="640" w:firstLineChars="200"/>
        <w:jc w:val="both"/>
        <w:textAlignment w:val="auto"/>
        <w:rPr>
          <w:rFonts w:hint="eastAsia" w:ascii="仿宋_GB2312" w:hAnsi="仿宋_GB2312" w:eastAsia="仿宋_GB2312" w:cs="仿宋_GB2312"/>
          <w:kern w:val="0"/>
          <w:sz w:val="32"/>
          <w:szCs w:val="32"/>
          <w:highlight w:val="none"/>
          <w:lang w:val="en-US"/>
        </w:rPr>
      </w:pPr>
      <w:r>
        <w:rPr>
          <w:rFonts w:hint="eastAsia" w:ascii="仿宋_GB2312" w:hAnsi="仿宋_GB2312" w:eastAsia="仿宋_GB2312" w:cs="仿宋_GB2312"/>
          <w:kern w:val="0"/>
          <w:sz w:val="32"/>
          <w:szCs w:val="32"/>
          <w:highlight w:val="none"/>
          <w:lang w:val="en-US" w:eastAsia="zh-CN" w:bidi="ar"/>
        </w:rPr>
        <w:t>5.作品被厅局级以上专业机构收藏、设计项目被采用1件以上。</w:t>
      </w:r>
    </w:p>
    <w:p>
      <w:pPr>
        <w:keepNext w:val="0"/>
        <w:keepLines w:val="0"/>
        <w:pageBreakBefore w:val="0"/>
        <w:widowControl w:val="0"/>
        <w:suppressLineNumbers w:val="0"/>
        <w:tabs>
          <w:tab w:val="left" w:pos="6352"/>
        </w:tabs>
        <w:kinsoku/>
        <w:wordWrap/>
        <w:overflowPunct/>
        <w:topLinePunct w:val="0"/>
        <w:autoSpaceDE/>
        <w:autoSpaceDN/>
        <w:bidi w:val="0"/>
        <w:adjustRightInd/>
        <w:snapToGrid/>
        <w:spacing w:before="0" w:beforeAutospacing="0" w:afterAutospacing="0" w:line="560" w:lineRule="exact"/>
        <w:ind w:left="0" w:right="0" w:firstLine="640" w:firstLineChars="200"/>
        <w:jc w:val="both"/>
        <w:textAlignment w:val="auto"/>
        <w:rPr>
          <w:rFonts w:hint="eastAsia" w:ascii="黑体" w:hAnsi="黑体" w:eastAsia="黑体" w:cs="黑体"/>
          <w:b w:val="0"/>
          <w:bCs/>
          <w:kern w:val="0"/>
          <w:sz w:val="32"/>
          <w:szCs w:val="32"/>
          <w:highlight w:val="none"/>
          <w:lang w:val="en-US"/>
        </w:rPr>
      </w:pPr>
      <w:r>
        <w:rPr>
          <w:rFonts w:hint="eastAsia" w:ascii="黑体" w:hAnsi="黑体" w:eastAsia="黑体" w:cs="黑体"/>
          <w:b w:val="0"/>
          <w:bCs/>
          <w:kern w:val="0"/>
          <w:sz w:val="32"/>
          <w:szCs w:val="32"/>
          <w:highlight w:val="none"/>
          <w:lang w:val="en-US" w:eastAsia="zh-CN" w:bidi="ar"/>
        </w:rPr>
        <w:t>四、申报助教资格</w:t>
      </w:r>
    </w:p>
    <w:p>
      <w:pPr>
        <w:keepNext w:val="0"/>
        <w:keepLines w:val="0"/>
        <w:pageBreakBefore w:val="0"/>
        <w:widowControl w:val="0"/>
        <w:suppressLineNumbers w:val="0"/>
        <w:tabs>
          <w:tab w:val="left" w:pos="6352"/>
        </w:tabs>
        <w:kinsoku/>
        <w:wordWrap/>
        <w:overflowPunct/>
        <w:topLinePunct w:val="0"/>
        <w:autoSpaceDE/>
        <w:autoSpaceDN/>
        <w:bidi w:val="0"/>
        <w:adjustRightInd/>
        <w:snapToGrid/>
        <w:spacing w:before="0" w:beforeAutospacing="0" w:afterAutospacing="0" w:line="560" w:lineRule="exact"/>
        <w:ind w:left="0" w:right="0" w:firstLine="640" w:firstLineChars="200"/>
        <w:jc w:val="both"/>
        <w:textAlignment w:val="auto"/>
        <w:rPr>
          <w:rFonts w:hint="eastAsia" w:ascii="仿宋_GB2312" w:hAnsi="仿宋_GB2312" w:eastAsia="仿宋_GB2312" w:cs="仿宋_GB2312"/>
          <w:kern w:val="0"/>
          <w:sz w:val="32"/>
          <w:szCs w:val="32"/>
          <w:highlight w:val="none"/>
          <w:lang w:val="en-US"/>
        </w:rPr>
      </w:pPr>
      <w:r>
        <w:rPr>
          <w:rFonts w:hint="eastAsia" w:ascii="仿宋_GB2312" w:hAnsi="仿宋_GB2312" w:eastAsia="仿宋_GB2312" w:cs="仿宋_GB2312"/>
          <w:kern w:val="0"/>
          <w:sz w:val="32"/>
          <w:szCs w:val="32"/>
          <w:highlight w:val="none"/>
          <w:lang w:val="en-US" w:eastAsia="zh-CN" w:bidi="ar"/>
        </w:rPr>
        <w:t>申报助教资格需具备下列教学、科研业绩条件：</w:t>
      </w:r>
    </w:p>
    <w:p>
      <w:pPr>
        <w:keepNext w:val="0"/>
        <w:keepLines w:val="0"/>
        <w:pageBreakBefore w:val="0"/>
        <w:widowControl w:val="0"/>
        <w:suppressLineNumbers w:val="0"/>
        <w:tabs>
          <w:tab w:val="left" w:pos="6352"/>
        </w:tabs>
        <w:kinsoku/>
        <w:wordWrap/>
        <w:overflowPunct/>
        <w:topLinePunct w:val="0"/>
        <w:autoSpaceDE/>
        <w:autoSpaceDN/>
        <w:bidi w:val="0"/>
        <w:adjustRightInd/>
        <w:snapToGrid/>
        <w:spacing w:before="0" w:beforeAutospacing="0" w:afterAutospacing="0" w:line="560" w:lineRule="exact"/>
        <w:ind w:left="0" w:right="0" w:firstLine="640" w:firstLineChars="200"/>
        <w:jc w:val="both"/>
        <w:textAlignment w:val="auto"/>
        <w:rPr>
          <w:rFonts w:hint="eastAsia" w:ascii="仿宋_GB2312" w:hAnsi="仿宋_GB2312" w:eastAsia="仿宋_GB2312" w:cs="仿宋_GB2312"/>
          <w:b/>
          <w:bCs w:val="0"/>
          <w:kern w:val="0"/>
          <w:sz w:val="32"/>
          <w:szCs w:val="32"/>
          <w:highlight w:val="none"/>
          <w:lang w:val="en-US"/>
        </w:rPr>
      </w:pPr>
      <w:r>
        <w:rPr>
          <w:rFonts w:hint="eastAsia" w:ascii="仿宋_GB2312" w:hAnsi="仿宋_GB2312" w:eastAsia="仿宋_GB2312" w:cs="仿宋_GB2312"/>
          <w:kern w:val="0"/>
          <w:sz w:val="32"/>
          <w:szCs w:val="32"/>
          <w:highlight w:val="none"/>
          <w:lang w:val="en-US" w:eastAsia="zh-CN" w:bidi="ar"/>
        </w:rPr>
        <w:t>（一）掌握基本的教学理念和教学方法，教学态度端正。协助讲授课程部分内容，将思想政治教育融入教学，在学生培养工作中做出积极贡献。</w:t>
      </w:r>
    </w:p>
    <w:p>
      <w:pPr>
        <w:keepNext w:val="0"/>
        <w:keepLines w:val="0"/>
        <w:pageBreakBefore w:val="0"/>
        <w:widowControl w:val="0"/>
        <w:suppressLineNumbers w:val="0"/>
        <w:tabs>
          <w:tab w:val="left" w:pos="6352"/>
        </w:tabs>
        <w:kinsoku/>
        <w:wordWrap/>
        <w:overflowPunct/>
        <w:topLinePunct w:val="0"/>
        <w:autoSpaceDE/>
        <w:autoSpaceDN/>
        <w:bidi w:val="0"/>
        <w:adjustRightInd/>
        <w:snapToGrid/>
        <w:spacing w:before="0" w:beforeAutospacing="0" w:afterAutospacing="0" w:line="560" w:lineRule="exact"/>
        <w:ind w:left="0" w:right="0" w:firstLine="640" w:firstLineChars="200"/>
        <w:jc w:val="both"/>
        <w:textAlignment w:val="auto"/>
        <w:rPr>
          <w:rFonts w:hint="eastAsia" w:ascii="仿宋_GB2312" w:hAnsi="仿宋_GB2312" w:eastAsia="仿宋_GB2312" w:cs="仿宋_GB2312"/>
          <w:b/>
          <w:bCs w:val="0"/>
          <w:kern w:val="0"/>
          <w:sz w:val="32"/>
          <w:szCs w:val="32"/>
          <w:highlight w:val="none"/>
          <w:lang w:val="en-US"/>
        </w:rPr>
      </w:pPr>
      <w:r>
        <w:rPr>
          <w:rFonts w:hint="eastAsia" w:ascii="仿宋_GB2312" w:hAnsi="仿宋_GB2312" w:eastAsia="仿宋_GB2312" w:cs="仿宋_GB2312"/>
          <w:kern w:val="0"/>
          <w:sz w:val="32"/>
          <w:szCs w:val="32"/>
          <w:highlight w:val="none"/>
          <w:lang w:val="en-US" w:eastAsia="zh-CN" w:bidi="ar"/>
        </w:rPr>
        <w:t>（二）具有一定的本专业知识。</w:t>
      </w:r>
    </w:p>
    <w:p>
      <w:pPr>
        <w:pStyle w:val="8"/>
        <w:pageBreakBefore w:val="0"/>
        <w:kinsoku/>
        <w:wordWrap/>
        <w:overflowPunct/>
        <w:topLinePunct w:val="0"/>
        <w:autoSpaceDE/>
        <w:autoSpaceDN/>
        <w:bidi w:val="0"/>
        <w:spacing w:line="560" w:lineRule="exact"/>
        <w:ind w:firstLine="0"/>
        <w:textAlignment w:val="auto"/>
        <w:rPr>
          <w:rFonts w:hint="eastAsia" w:ascii="仿宋_GB2312" w:hAnsi="仿宋_GB2312" w:eastAsia="仿宋_GB2312" w:cs="仿宋_GB2312"/>
          <w:color w:val="000000"/>
          <w:kern w:val="0"/>
          <w:sz w:val="32"/>
          <w:szCs w:val="32"/>
          <w:highlight w:val="none"/>
          <w:lang w:val="en-US" w:eastAsia="zh-Hans"/>
        </w:rPr>
      </w:pPr>
    </w:p>
    <w:p>
      <w:pPr>
        <w:pStyle w:val="8"/>
        <w:pageBreakBefore w:val="0"/>
        <w:kinsoku/>
        <w:wordWrap/>
        <w:overflowPunct/>
        <w:topLinePunct w:val="0"/>
        <w:autoSpaceDE/>
        <w:autoSpaceDN/>
        <w:bidi w:val="0"/>
        <w:spacing w:line="560" w:lineRule="exact"/>
        <w:ind w:firstLine="0"/>
        <w:textAlignment w:val="auto"/>
        <w:rPr>
          <w:rFonts w:hint="eastAsia" w:ascii="仿宋_GB2312" w:hAnsi="仿宋_GB2312" w:eastAsia="仿宋_GB2312" w:cs="仿宋_GB2312"/>
          <w:color w:val="000000"/>
          <w:kern w:val="0"/>
          <w:sz w:val="32"/>
          <w:szCs w:val="32"/>
          <w:highlight w:val="none"/>
          <w:lang w:val="en-US" w:eastAsia="zh-Hans"/>
        </w:rPr>
      </w:pPr>
    </w:p>
    <w:p>
      <w:pPr>
        <w:pStyle w:val="8"/>
        <w:pageBreakBefore w:val="0"/>
        <w:kinsoku/>
        <w:wordWrap/>
        <w:overflowPunct/>
        <w:topLinePunct w:val="0"/>
        <w:autoSpaceDE/>
        <w:autoSpaceDN/>
        <w:bidi w:val="0"/>
        <w:spacing w:line="560" w:lineRule="exact"/>
        <w:ind w:firstLine="0"/>
        <w:textAlignment w:val="auto"/>
        <w:rPr>
          <w:rFonts w:hint="eastAsia" w:ascii="仿宋_GB2312" w:hAnsi="仿宋_GB2312" w:eastAsia="仿宋_GB2312" w:cs="仿宋_GB2312"/>
          <w:color w:val="000000"/>
          <w:kern w:val="0"/>
          <w:sz w:val="32"/>
          <w:szCs w:val="32"/>
          <w:highlight w:val="none"/>
          <w:lang w:val="en-US" w:eastAsia="zh-Hans"/>
        </w:rPr>
      </w:pPr>
    </w:p>
    <w:p>
      <w:pPr>
        <w:pStyle w:val="8"/>
        <w:pageBreakBefore w:val="0"/>
        <w:kinsoku/>
        <w:wordWrap/>
        <w:overflowPunct/>
        <w:topLinePunct w:val="0"/>
        <w:autoSpaceDE/>
        <w:autoSpaceDN/>
        <w:bidi w:val="0"/>
        <w:spacing w:line="560" w:lineRule="exact"/>
        <w:ind w:firstLine="0"/>
        <w:textAlignment w:val="auto"/>
        <w:rPr>
          <w:rFonts w:hint="eastAsia" w:ascii="仿宋_GB2312" w:hAnsi="仿宋_GB2312" w:eastAsia="仿宋_GB2312" w:cs="仿宋_GB2312"/>
          <w:color w:val="000000"/>
          <w:kern w:val="0"/>
          <w:sz w:val="32"/>
          <w:szCs w:val="32"/>
          <w:highlight w:val="none"/>
          <w:lang w:val="en-US" w:eastAsia="zh-Hans"/>
        </w:rPr>
      </w:pPr>
    </w:p>
    <w:p>
      <w:pPr>
        <w:pStyle w:val="8"/>
        <w:pageBreakBefore w:val="0"/>
        <w:kinsoku/>
        <w:wordWrap/>
        <w:overflowPunct/>
        <w:topLinePunct w:val="0"/>
        <w:autoSpaceDE/>
        <w:autoSpaceDN/>
        <w:bidi w:val="0"/>
        <w:spacing w:line="560" w:lineRule="exact"/>
        <w:ind w:firstLine="0"/>
        <w:textAlignment w:val="auto"/>
        <w:rPr>
          <w:rFonts w:hint="eastAsia" w:ascii="仿宋_GB2312" w:hAnsi="仿宋_GB2312" w:eastAsia="仿宋_GB2312" w:cs="仿宋_GB2312"/>
          <w:color w:val="000000"/>
          <w:kern w:val="0"/>
          <w:sz w:val="32"/>
          <w:szCs w:val="32"/>
          <w:highlight w:val="none"/>
          <w:lang w:val="en-US" w:eastAsia="zh-Hans"/>
        </w:rPr>
      </w:pPr>
    </w:p>
    <w:p>
      <w:pPr>
        <w:pStyle w:val="7"/>
        <w:keepNext/>
        <w:keepLines/>
        <w:pageBreakBefore w:val="0"/>
        <w:kinsoku/>
        <w:wordWrap/>
        <w:overflowPunct/>
        <w:topLinePunct w:val="0"/>
        <w:autoSpaceDE/>
        <w:autoSpaceDN/>
        <w:bidi w:val="0"/>
        <w:spacing w:before="0" w:after="300" w:line="560" w:lineRule="exact"/>
        <w:jc w:val="both"/>
        <w:textAlignment w:val="auto"/>
        <w:rPr>
          <w:rFonts w:hint="eastAsia" w:ascii="黑体" w:hAnsi="黑体" w:eastAsia="黑体" w:cs="黑体"/>
          <w:b w:val="0"/>
          <w:bCs w:val="0"/>
          <w:color w:val="000000"/>
          <w:sz w:val="32"/>
          <w:szCs w:val="32"/>
          <w:highlight w:val="none"/>
          <w:lang w:eastAsia="zh-Hans" w:bidi="ar-SA"/>
        </w:rPr>
      </w:pPr>
      <w:r>
        <w:rPr>
          <w:rFonts w:hint="eastAsia" w:ascii="黑体" w:hAnsi="黑体" w:eastAsia="黑体" w:cs="黑体"/>
          <w:b w:val="0"/>
          <w:bCs w:val="0"/>
          <w:color w:val="000000"/>
          <w:sz w:val="32"/>
          <w:szCs w:val="32"/>
          <w:highlight w:val="none"/>
          <w:lang w:val="en-US" w:eastAsia="zh-Hans" w:bidi="ar-SA"/>
        </w:rPr>
        <w:t>附件</w:t>
      </w:r>
      <w:r>
        <w:rPr>
          <w:rFonts w:hint="eastAsia" w:ascii="黑体" w:hAnsi="黑体" w:eastAsia="黑体" w:cs="黑体"/>
          <w:b w:val="0"/>
          <w:bCs w:val="0"/>
          <w:color w:val="000000"/>
          <w:sz w:val="32"/>
          <w:szCs w:val="32"/>
          <w:highlight w:val="none"/>
          <w:lang w:val="en-US" w:eastAsia="zh-CN" w:bidi="ar-SA"/>
        </w:rPr>
        <w:t>2</w:t>
      </w:r>
      <w:r>
        <w:rPr>
          <w:rFonts w:hint="eastAsia" w:ascii="黑体" w:hAnsi="黑体" w:eastAsia="黑体" w:cs="黑体"/>
          <w:b w:val="0"/>
          <w:bCs w:val="0"/>
          <w:color w:val="000000"/>
          <w:sz w:val="32"/>
          <w:szCs w:val="32"/>
          <w:highlight w:val="none"/>
          <w:lang w:eastAsia="zh-Hans" w:bidi="ar-SA"/>
        </w:rPr>
        <w:t xml:space="preserve">  </w:t>
      </w:r>
    </w:p>
    <w:p>
      <w:pPr>
        <w:pStyle w:val="7"/>
        <w:keepNext/>
        <w:keepLines/>
        <w:pageBreakBefore w:val="0"/>
        <w:kinsoku/>
        <w:wordWrap/>
        <w:overflowPunct/>
        <w:topLinePunct w:val="0"/>
        <w:autoSpaceDE/>
        <w:autoSpaceDN/>
        <w:bidi w:val="0"/>
        <w:spacing w:before="0" w:after="300" w:line="560" w:lineRule="exact"/>
        <w:jc w:val="center"/>
        <w:textAlignment w:val="auto"/>
        <w:rPr>
          <w:rFonts w:hint="eastAsia" w:ascii="方正小标宋简体" w:hAnsi="方正小标宋简体" w:eastAsia="方正小标宋简体" w:cs="方正小标宋简体"/>
          <w:b w:val="0"/>
          <w:bCs w:val="0"/>
          <w:color w:val="000000"/>
          <w:sz w:val="44"/>
          <w:szCs w:val="44"/>
          <w:highlight w:val="none"/>
          <w:lang w:val="en-US" w:eastAsia="zh-Hans" w:bidi="ar-SA"/>
        </w:rPr>
      </w:pPr>
      <w:r>
        <w:rPr>
          <w:rFonts w:hint="eastAsia" w:ascii="方正小标宋简体" w:hAnsi="方正小标宋简体" w:eastAsia="方正小标宋简体" w:cs="方正小标宋简体"/>
          <w:b w:val="0"/>
          <w:bCs w:val="0"/>
          <w:color w:val="000000"/>
          <w:sz w:val="44"/>
          <w:szCs w:val="44"/>
          <w:highlight w:val="none"/>
          <w:lang w:val="en-US" w:eastAsia="zh-Hans" w:bidi="ar-SA"/>
        </w:rPr>
        <w:t>学生思想政治教育研究系列</w:t>
      </w:r>
    </w:p>
    <w:p>
      <w:pPr>
        <w:pStyle w:val="7"/>
        <w:keepNext/>
        <w:keepLines/>
        <w:pageBreakBefore w:val="0"/>
        <w:kinsoku/>
        <w:wordWrap/>
        <w:overflowPunct/>
        <w:topLinePunct w:val="0"/>
        <w:autoSpaceDE/>
        <w:autoSpaceDN/>
        <w:bidi w:val="0"/>
        <w:spacing w:before="0" w:after="300" w:line="560" w:lineRule="exact"/>
        <w:jc w:val="center"/>
        <w:textAlignment w:val="auto"/>
        <w:rPr>
          <w:rFonts w:hint="eastAsia" w:ascii="方正小标宋简体" w:hAnsi="方正小标宋简体" w:eastAsia="方正小标宋简体" w:cs="方正小标宋简体"/>
          <w:b w:val="0"/>
          <w:bCs w:val="0"/>
          <w:color w:val="000000"/>
          <w:sz w:val="44"/>
          <w:szCs w:val="44"/>
          <w:highlight w:val="none"/>
          <w:lang w:val="en-US" w:eastAsia="zh-Hans" w:bidi="ar-SA"/>
        </w:rPr>
      </w:pPr>
      <w:r>
        <w:rPr>
          <w:rFonts w:hint="eastAsia" w:ascii="方正小标宋简体" w:hAnsi="方正小标宋简体" w:eastAsia="方正小标宋简体" w:cs="方正小标宋简体"/>
          <w:b w:val="0"/>
          <w:bCs w:val="0"/>
          <w:color w:val="000000"/>
          <w:sz w:val="44"/>
          <w:szCs w:val="44"/>
          <w:highlight w:val="none"/>
          <w:lang w:val="en-US" w:eastAsia="zh-Hans" w:bidi="ar-SA"/>
        </w:rPr>
        <w:t>职称评审业绩成果条件</w:t>
      </w:r>
    </w:p>
    <w:p>
      <w:pPr>
        <w:pStyle w:val="7"/>
        <w:keepNext/>
        <w:keepLines/>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rPr>
          <w:rFonts w:hint="eastAsia" w:ascii="仿宋_GB2312" w:hAnsi="仿宋_GB2312" w:eastAsia="仿宋_GB2312" w:cs="仿宋_GB2312"/>
          <w:b/>
          <w:bCs/>
          <w:color w:val="000000"/>
          <w:sz w:val="32"/>
          <w:szCs w:val="32"/>
          <w:highlight w:val="none"/>
          <w:lang w:val="en-US" w:eastAsia="zh-Hans" w:bidi="ar-SA"/>
        </w:rPr>
      </w:pPr>
      <w:r>
        <w:rPr>
          <w:rFonts w:hint="eastAsia" w:ascii="仿宋_GB2312" w:hAnsi="仿宋_GB2312" w:eastAsia="仿宋_GB2312" w:cs="仿宋_GB2312"/>
          <w:b/>
          <w:bCs/>
          <w:color w:val="000000"/>
          <w:sz w:val="32"/>
          <w:szCs w:val="32"/>
          <w:highlight w:val="none"/>
          <w:lang w:val="en-US" w:eastAsia="zh-Hans" w:bidi="ar-SA"/>
        </w:rPr>
        <w:t>第一条 实践经验与工作能力</w:t>
      </w:r>
    </w:p>
    <w:p>
      <w:pPr>
        <w:pStyle w:val="7"/>
        <w:keepNext/>
        <w:keepLines/>
        <w:pageBreakBefore w:val="0"/>
        <w:widowControl w:val="0"/>
        <w:kinsoku/>
        <w:wordWrap/>
        <w:overflowPunct/>
        <w:topLinePunct w:val="0"/>
        <w:autoSpaceDE/>
        <w:autoSpaceDN/>
        <w:bidi w:val="0"/>
        <w:adjustRightInd/>
        <w:snapToGrid/>
        <w:spacing w:before="0" w:after="0" w:line="560" w:lineRule="exact"/>
        <w:jc w:val="both"/>
        <w:textAlignment w:val="auto"/>
        <w:rPr>
          <w:rFonts w:hint="eastAsia" w:ascii="仿宋_GB2312" w:hAnsi="仿宋_GB2312" w:eastAsia="仿宋_GB2312" w:cs="仿宋_GB2312"/>
          <w:b w:val="0"/>
          <w:bCs w:val="0"/>
          <w:color w:val="000000"/>
          <w:sz w:val="32"/>
          <w:szCs w:val="32"/>
          <w:highlight w:val="none"/>
          <w:lang w:val="en-US" w:eastAsia="zh-Hans" w:bidi="ar-SA"/>
        </w:rPr>
      </w:pPr>
      <w:r>
        <w:rPr>
          <w:rFonts w:hint="eastAsia" w:ascii="仿宋_GB2312" w:hAnsi="仿宋_GB2312" w:eastAsia="仿宋_GB2312" w:cs="仿宋_GB2312"/>
          <w:b w:val="0"/>
          <w:bCs w:val="0"/>
          <w:color w:val="000000"/>
          <w:sz w:val="32"/>
          <w:szCs w:val="32"/>
          <w:highlight w:val="none"/>
          <w:lang w:val="en-US" w:eastAsia="zh-Hans" w:bidi="ar-SA"/>
        </w:rPr>
        <w:t>　　</w:t>
      </w:r>
      <w:r>
        <w:rPr>
          <w:rFonts w:hint="eastAsia" w:ascii="仿宋_GB2312" w:hAnsi="仿宋_GB2312" w:eastAsia="仿宋_GB2312" w:cs="仿宋_GB2312"/>
          <w:b w:val="0"/>
          <w:bCs w:val="0"/>
          <w:color w:val="000000"/>
          <w:sz w:val="32"/>
          <w:szCs w:val="32"/>
          <w:highlight w:val="none"/>
          <w:lang w:val="en-US" w:eastAsia="zh-CN" w:bidi="ar-SA"/>
        </w:rPr>
        <w:t>一、</w:t>
      </w:r>
      <w:r>
        <w:rPr>
          <w:rFonts w:hint="eastAsia" w:ascii="仿宋_GB2312" w:hAnsi="仿宋_GB2312" w:eastAsia="仿宋_GB2312" w:cs="仿宋_GB2312"/>
          <w:b w:val="0"/>
          <w:bCs w:val="0"/>
          <w:color w:val="000000"/>
          <w:sz w:val="32"/>
          <w:szCs w:val="32"/>
          <w:highlight w:val="none"/>
          <w:lang w:val="en-US" w:eastAsia="zh-Hans" w:bidi="ar-SA"/>
        </w:rPr>
        <w:t>具有丰富的思想政治工作经验，曾被评为校级以上优秀党务工作者、优秀辅导员。</w:t>
      </w:r>
    </w:p>
    <w:p>
      <w:pPr>
        <w:pStyle w:val="7"/>
        <w:keepNext/>
        <w:keepLines/>
        <w:pageBreakBefore w:val="0"/>
        <w:widowControl w:val="0"/>
        <w:kinsoku/>
        <w:wordWrap/>
        <w:overflowPunct/>
        <w:topLinePunct w:val="0"/>
        <w:autoSpaceDE/>
        <w:autoSpaceDN/>
        <w:bidi w:val="0"/>
        <w:adjustRightInd/>
        <w:snapToGrid/>
        <w:spacing w:before="0" w:after="0" w:line="560" w:lineRule="exact"/>
        <w:jc w:val="both"/>
        <w:textAlignment w:val="auto"/>
        <w:rPr>
          <w:rFonts w:hint="eastAsia" w:ascii="仿宋_GB2312" w:hAnsi="仿宋_GB2312" w:eastAsia="仿宋_GB2312" w:cs="仿宋_GB2312"/>
          <w:b w:val="0"/>
          <w:bCs w:val="0"/>
          <w:color w:val="000000"/>
          <w:sz w:val="32"/>
          <w:szCs w:val="32"/>
          <w:highlight w:val="none"/>
          <w:lang w:val="en-US" w:eastAsia="zh-Hans" w:bidi="ar-SA"/>
        </w:rPr>
      </w:pPr>
      <w:r>
        <w:rPr>
          <w:rFonts w:hint="eastAsia" w:ascii="仿宋_GB2312" w:hAnsi="仿宋_GB2312" w:eastAsia="仿宋_GB2312" w:cs="仿宋_GB2312"/>
          <w:b w:val="0"/>
          <w:bCs w:val="0"/>
          <w:color w:val="000000"/>
          <w:sz w:val="32"/>
          <w:szCs w:val="32"/>
          <w:highlight w:val="none"/>
          <w:lang w:val="en-US" w:eastAsia="zh-Hans" w:bidi="ar-SA"/>
        </w:rPr>
        <w:t>　　</w:t>
      </w:r>
      <w:r>
        <w:rPr>
          <w:rFonts w:hint="eastAsia" w:ascii="仿宋_GB2312" w:hAnsi="仿宋_GB2312" w:eastAsia="仿宋_GB2312" w:cs="仿宋_GB2312"/>
          <w:b w:val="0"/>
          <w:bCs w:val="0"/>
          <w:color w:val="000000"/>
          <w:sz w:val="32"/>
          <w:szCs w:val="32"/>
          <w:highlight w:val="none"/>
          <w:lang w:val="en-US" w:eastAsia="zh-CN" w:bidi="ar-SA"/>
        </w:rPr>
        <w:t>二、</w:t>
      </w:r>
      <w:r>
        <w:rPr>
          <w:rFonts w:hint="eastAsia" w:ascii="仿宋_GB2312" w:hAnsi="仿宋_GB2312" w:eastAsia="仿宋_GB2312" w:cs="仿宋_GB2312"/>
          <w:b w:val="0"/>
          <w:bCs w:val="0"/>
          <w:color w:val="000000"/>
          <w:sz w:val="32"/>
          <w:szCs w:val="32"/>
          <w:highlight w:val="none"/>
          <w:lang w:val="en-US" w:eastAsia="zh-Hans" w:bidi="ar-SA"/>
        </w:rPr>
        <w:t>具有较强的组织领导和学生思想政治工作的能力，创新工作思路和工作方法，全面掌握思想政治工作的规律，主持校级以上学生思想政治工作研究项目1项。</w:t>
      </w:r>
    </w:p>
    <w:p>
      <w:pPr>
        <w:pStyle w:val="7"/>
        <w:keepNext/>
        <w:keepLines/>
        <w:pageBreakBefore w:val="0"/>
        <w:widowControl w:val="0"/>
        <w:kinsoku/>
        <w:wordWrap/>
        <w:overflowPunct/>
        <w:topLinePunct w:val="0"/>
        <w:autoSpaceDE/>
        <w:autoSpaceDN/>
        <w:bidi w:val="0"/>
        <w:adjustRightInd/>
        <w:snapToGrid/>
        <w:spacing w:before="0" w:after="0" w:line="560" w:lineRule="exact"/>
        <w:jc w:val="both"/>
        <w:textAlignment w:val="auto"/>
        <w:rPr>
          <w:rFonts w:hint="eastAsia" w:ascii="仿宋_GB2312" w:hAnsi="仿宋_GB2312" w:eastAsia="仿宋_GB2312" w:cs="仿宋_GB2312"/>
          <w:b w:val="0"/>
          <w:bCs w:val="0"/>
          <w:color w:val="000000"/>
          <w:sz w:val="32"/>
          <w:szCs w:val="32"/>
          <w:highlight w:val="none"/>
          <w:lang w:val="en-US" w:eastAsia="zh-Hans" w:bidi="ar-SA"/>
        </w:rPr>
      </w:pPr>
      <w:r>
        <w:rPr>
          <w:rFonts w:hint="eastAsia" w:ascii="仿宋_GB2312" w:hAnsi="仿宋_GB2312" w:eastAsia="仿宋_GB2312" w:cs="仿宋_GB2312"/>
          <w:b w:val="0"/>
          <w:bCs w:val="0"/>
          <w:color w:val="000000"/>
          <w:sz w:val="32"/>
          <w:szCs w:val="32"/>
          <w:highlight w:val="none"/>
          <w:lang w:val="en-US" w:eastAsia="zh-Hans" w:bidi="ar-SA"/>
        </w:rPr>
        <w:t>　　</w:t>
      </w:r>
      <w:r>
        <w:rPr>
          <w:rFonts w:hint="eastAsia" w:ascii="仿宋_GB2312" w:hAnsi="仿宋_GB2312" w:eastAsia="仿宋_GB2312" w:cs="仿宋_GB2312"/>
          <w:b w:val="0"/>
          <w:bCs w:val="0"/>
          <w:color w:val="000000"/>
          <w:sz w:val="32"/>
          <w:szCs w:val="32"/>
          <w:highlight w:val="none"/>
          <w:lang w:val="en-US" w:eastAsia="zh-CN" w:bidi="ar-SA"/>
        </w:rPr>
        <w:t>三、</w:t>
      </w:r>
      <w:r>
        <w:rPr>
          <w:rFonts w:hint="eastAsia" w:ascii="仿宋_GB2312" w:hAnsi="仿宋_GB2312" w:eastAsia="仿宋_GB2312" w:cs="仿宋_GB2312"/>
          <w:b w:val="0"/>
          <w:bCs w:val="0"/>
          <w:color w:val="000000"/>
          <w:sz w:val="32"/>
          <w:szCs w:val="32"/>
          <w:highlight w:val="none"/>
          <w:lang w:val="en-US" w:eastAsia="zh-Hans" w:bidi="ar-SA"/>
        </w:rPr>
        <w:t>具有较高的写作水平和口头表达能力，组织或主持制定过全面的工作计划，写出较高水平的工作报告，在改善和加强学校的思想政治工作方面有较深入的研究，成绩显著。</w:t>
      </w:r>
    </w:p>
    <w:p>
      <w:pPr>
        <w:pStyle w:val="7"/>
        <w:keepNext/>
        <w:keepLines/>
        <w:pageBreakBefore w:val="0"/>
        <w:widowControl w:val="0"/>
        <w:kinsoku/>
        <w:wordWrap/>
        <w:overflowPunct/>
        <w:topLinePunct w:val="0"/>
        <w:autoSpaceDE/>
        <w:autoSpaceDN/>
        <w:bidi w:val="0"/>
        <w:adjustRightInd/>
        <w:snapToGrid/>
        <w:spacing w:before="0" w:after="0" w:line="560" w:lineRule="exact"/>
        <w:jc w:val="both"/>
        <w:textAlignment w:val="auto"/>
        <w:rPr>
          <w:rFonts w:hint="eastAsia" w:ascii="仿宋_GB2312" w:hAnsi="仿宋_GB2312" w:eastAsia="仿宋_GB2312" w:cs="仿宋_GB2312"/>
          <w:b w:val="0"/>
          <w:bCs w:val="0"/>
          <w:color w:val="000000"/>
          <w:sz w:val="32"/>
          <w:szCs w:val="32"/>
          <w:highlight w:val="none"/>
          <w:lang w:val="en-US" w:eastAsia="zh-Hans" w:bidi="ar-SA"/>
        </w:rPr>
      </w:pPr>
      <w:r>
        <w:rPr>
          <w:rFonts w:hint="eastAsia" w:ascii="仿宋_GB2312" w:hAnsi="仿宋_GB2312" w:eastAsia="仿宋_GB2312" w:cs="仿宋_GB2312"/>
          <w:b w:val="0"/>
          <w:bCs w:val="0"/>
          <w:color w:val="000000"/>
          <w:sz w:val="32"/>
          <w:szCs w:val="32"/>
          <w:highlight w:val="none"/>
          <w:lang w:val="en-US" w:eastAsia="zh-Hans" w:bidi="ar-SA"/>
        </w:rPr>
        <w:t>　　</w:t>
      </w:r>
      <w:r>
        <w:rPr>
          <w:rFonts w:hint="eastAsia" w:ascii="仿宋_GB2312" w:hAnsi="仿宋_GB2312" w:eastAsia="仿宋_GB2312" w:cs="仿宋_GB2312"/>
          <w:b w:val="0"/>
          <w:bCs w:val="0"/>
          <w:color w:val="000000"/>
          <w:sz w:val="32"/>
          <w:szCs w:val="32"/>
          <w:highlight w:val="none"/>
          <w:lang w:val="en-US" w:eastAsia="zh-CN" w:bidi="ar-SA"/>
        </w:rPr>
        <w:t>四、</w:t>
      </w:r>
      <w:r>
        <w:rPr>
          <w:rFonts w:hint="eastAsia" w:ascii="仿宋_GB2312" w:hAnsi="仿宋_GB2312" w:eastAsia="仿宋_GB2312" w:cs="仿宋_GB2312"/>
          <w:b w:val="0"/>
          <w:bCs w:val="0"/>
          <w:color w:val="000000"/>
          <w:sz w:val="32"/>
          <w:szCs w:val="32"/>
          <w:highlight w:val="none"/>
          <w:lang w:val="en-US" w:eastAsia="zh-Hans" w:bidi="ar-SA"/>
        </w:rPr>
        <w:t>能面向师生员工做形势报告，平均每年至少2次讲座，并收到良好效果，受到师生的普遍欢迎。</w:t>
      </w:r>
    </w:p>
    <w:p>
      <w:pPr>
        <w:pStyle w:val="7"/>
        <w:keepNext/>
        <w:keepLines/>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rPr>
          <w:rFonts w:hint="eastAsia" w:ascii="仿宋_GB2312" w:hAnsi="仿宋_GB2312" w:eastAsia="仿宋_GB2312" w:cs="仿宋_GB2312"/>
          <w:b/>
          <w:bCs/>
          <w:color w:val="000000"/>
          <w:sz w:val="32"/>
          <w:szCs w:val="32"/>
          <w:highlight w:val="none"/>
          <w:lang w:val="en-US" w:eastAsia="zh-Hans" w:bidi="ar-SA"/>
        </w:rPr>
      </w:pPr>
      <w:r>
        <w:rPr>
          <w:rFonts w:hint="eastAsia" w:ascii="仿宋_GB2312" w:hAnsi="仿宋_GB2312" w:eastAsia="仿宋_GB2312" w:cs="仿宋_GB2312"/>
          <w:b/>
          <w:bCs/>
          <w:color w:val="000000"/>
          <w:sz w:val="32"/>
          <w:szCs w:val="32"/>
          <w:highlight w:val="none"/>
          <w:lang w:val="en-US" w:eastAsia="zh-Hans" w:bidi="ar-SA"/>
        </w:rPr>
        <w:t>第二条　业绩成果</w:t>
      </w:r>
    </w:p>
    <w:p>
      <w:pPr>
        <w:pStyle w:val="7"/>
        <w:keepNext/>
        <w:keepLines/>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黑体" w:hAnsi="黑体" w:eastAsia="黑体" w:cs="黑体"/>
          <w:b w:val="0"/>
          <w:bCs w:val="0"/>
          <w:color w:val="000000"/>
          <w:sz w:val="32"/>
          <w:szCs w:val="32"/>
          <w:highlight w:val="none"/>
          <w:lang w:val="en-US" w:eastAsia="zh-Hans" w:bidi="ar-SA"/>
        </w:rPr>
      </w:pPr>
      <w:r>
        <w:rPr>
          <w:rFonts w:hint="eastAsia" w:ascii="黑体" w:hAnsi="黑体" w:eastAsia="黑体" w:cs="黑体"/>
          <w:b w:val="0"/>
          <w:bCs w:val="0"/>
          <w:color w:val="000000"/>
          <w:sz w:val="32"/>
          <w:szCs w:val="32"/>
          <w:highlight w:val="none"/>
          <w:lang w:val="en-US" w:eastAsia="zh-CN" w:bidi="ar-SA"/>
        </w:rPr>
        <w:t>一、</w:t>
      </w:r>
      <w:r>
        <w:rPr>
          <w:rFonts w:hint="eastAsia" w:ascii="黑体" w:hAnsi="黑体" w:eastAsia="黑体" w:cs="黑体"/>
          <w:b w:val="0"/>
          <w:bCs w:val="0"/>
          <w:color w:val="000000"/>
          <w:sz w:val="32"/>
          <w:szCs w:val="32"/>
          <w:highlight w:val="none"/>
          <w:lang w:val="en-US" w:eastAsia="zh-Hans" w:bidi="ar-SA"/>
        </w:rPr>
        <w:t>申报研究员资格</w:t>
      </w:r>
    </w:p>
    <w:p>
      <w:pPr>
        <w:pStyle w:val="7"/>
        <w:keepNext/>
        <w:keepLines/>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color w:val="000000"/>
          <w:sz w:val="32"/>
          <w:szCs w:val="32"/>
          <w:highlight w:val="none"/>
          <w:lang w:val="en-US" w:eastAsia="zh-Hans" w:bidi="ar-SA"/>
        </w:rPr>
      </w:pPr>
      <w:r>
        <w:rPr>
          <w:rFonts w:hint="eastAsia" w:ascii="仿宋_GB2312" w:hAnsi="仿宋_GB2312" w:eastAsia="仿宋_GB2312" w:cs="仿宋_GB2312"/>
          <w:b w:val="0"/>
          <w:bCs w:val="0"/>
          <w:color w:val="000000"/>
          <w:sz w:val="32"/>
          <w:szCs w:val="32"/>
          <w:highlight w:val="none"/>
          <w:lang w:val="en-US" w:eastAsia="zh-CN" w:bidi="ar-SA"/>
        </w:rPr>
        <w:t>受聘</w:t>
      </w:r>
      <w:r>
        <w:rPr>
          <w:rFonts w:hint="eastAsia" w:ascii="仿宋_GB2312" w:hAnsi="仿宋_GB2312" w:eastAsia="仿宋_GB2312" w:cs="仿宋_GB2312"/>
          <w:b w:val="0"/>
          <w:bCs w:val="0"/>
          <w:color w:val="000000"/>
          <w:sz w:val="32"/>
          <w:szCs w:val="32"/>
          <w:highlight w:val="none"/>
          <w:lang w:val="en-US" w:eastAsia="zh-Hans" w:bidi="ar-SA"/>
        </w:rPr>
        <w:t>副研究员资格以来，系统讲授过1门以上学生思想政治理论课或形势政策教育、心理健康教育、创新创业指导课、职业发展规划、就业指导、国防教育等相关课程，且教学效果好，学生综合评价良好。从事学生思想政治教育工作，并担任班主任、辅导员工作2年以上，</w:t>
      </w:r>
      <w:r>
        <w:rPr>
          <w:rFonts w:hint="eastAsia" w:ascii="仿宋_GB2312" w:hAnsi="仿宋_GB2312" w:eastAsia="仿宋_GB2312" w:cs="仿宋_GB2312"/>
          <w:b w:val="0"/>
          <w:bCs w:val="0"/>
          <w:color w:val="000000"/>
          <w:sz w:val="32"/>
          <w:szCs w:val="32"/>
          <w:highlight w:val="none"/>
          <w:lang w:val="en-US" w:eastAsia="zh-CN" w:bidi="ar-SA"/>
        </w:rPr>
        <w:t>且</w:t>
      </w:r>
      <w:r>
        <w:rPr>
          <w:rFonts w:hint="eastAsia" w:ascii="仿宋_GB2312" w:hAnsi="仿宋_GB2312" w:eastAsia="仿宋_GB2312" w:cs="仿宋_GB2312"/>
          <w:b w:val="0"/>
          <w:bCs w:val="0"/>
          <w:color w:val="000000"/>
          <w:sz w:val="32"/>
          <w:szCs w:val="32"/>
          <w:highlight w:val="none"/>
          <w:lang w:val="en-US" w:eastAsia="zh-Hans" w:bidi="ar-SA"/>
        </w:rPr>
        <w:t>应具备下列条件之三条，其中第</w:t>
      </w:r>
      <w:r>
        <w:rPr>
          <w:rFonts w:hint="eastAsia" w:ascii="仿宋_GB2312" w:hAnsi="仿宋_GB2312" w:eastAsia="仿宋_GB2312" w:cs="仿宋_GB2312"/>
          <w:b w:val="0"/>
          <w:bCs w:val="0"/>
          <w:color w:val="000000"/>
          <w:sz w:val="32"/>
          <w:szCs w:val="32"/>
          <w:highlight w:val="none"/>
          <w:lang w:val="en-US" w:eastAsia="zh-CN" w:bidi="ar-SA"/>
        </w:rPr>
        <w:t>（一）（二）</w:t>
      </w:r>
      <w:r>
        <w:rPr>
          <w:rFonts w:hint="eastAsia" w:ascii="仿宋_GB2312" w:hAnsi="仿宋_GB2312" w:eastAsia="仿宋_GB2312" w:cs="仿宋_GB2312"/>
          <w:b w:val="0"/>
          <w:bCs w:val="0"/>
          <w:color w:val="000000"/>
          <w:sz w:val="32"/>
          <w:szCs w:val="32"/>
          <w:highlight w:val="none"/>
          <w:lang w:val="en-US" w:eastAsia="zh-Hans" w:bidi="ar-SA"/>
        </w:rPr>
        <w:t>条是必备条件：</w:t>
      </w:r>
    </w:p>
    <w:p>
      <w:pPr>
        <w:pStyle w:val="7"/>
        <w:keepNext/>
        <w:keepLines/>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color w:val="000000"/>
          <w:sz w:val="32"/>
          <w:szCs w:val="32"/>
          <w:highlight w:val="none"/>
          <w:lang w:val="en-US" w:eastAsia="zh-Hans" w:bidi="ar-SA"/>
        </w:rPr>
      </w:pPr>
      <w:r>
        <w:rPr>
          <w:rFonts w:hint="eastAsia" w:ascii="仿宋_GB2312" w:hAnsi="仿宋_GB2312" w:eastAsia="仿宋_GB2312" w:cs="仿宋_GB2312"/>
          <w:b w:val="0"/>
          <w:bCs w:val="0"/>
          <w:color w:val="000000"/>
          <w:sz w:val="32"/>
          <w:szCs w:val="32"/>
          <w:highlight w:val="none"/>
          <w:lang w:val="en-US" w:eastAsia="zh-CN" w:bidi="ar-SA"/>
        </w:rPr>
        <w:t>（一）</w:t>
      </w:r>
      <w:r>
        <w:rPr>
          <w:rFonts w:hint="eastAsia" w:ascii="仿宋_GB2312" w:hAnsi="仿宋_GB2312" w:eastAsia="仿宋_GB2312" w:cs="仿宋_GB2312"/>
          <w:b w:val="0"/>
          <w:bCs w:val="0"/>
          <w:color w:val="000000"/>
          <w:sz w:val="32"/>
          <w:szCs w:val="32"/>
          <w:highlight w:val="none"/>
          <w:lang w:val="en-US" w:eastAsia="zh-Hans" w:bidi="ar-SA"/>
        </w:rPr>
        <w:t>学生思想政治教育研究方面的论文或研究报告3篇以上。</w:t>
      </w:r>
    </w:p>
    <w:p>
      <w:pPr>
        <w:pStyle w:val="7"/>
        <w:keepNext/>
        <w:keepLines/>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color w:val="000000"/>
          <w:sz w:val="32"/>
          <w:szCs w:val="32"/>
          <w:highlight w:val="none"/>
          <w:lang w:val="en-US" w:eastAsia="zh-Hans" w:bidi="ar-SA"/>
        </w:rPr>
      </w:pPr>
      <w:r>
        <w:rPr>
          <w:rFonts w:hint="eastAsia" w:ascii="仿宋_GB2312" w:hAnsi="仿宋_GB2312" w:eastAsia="仿宋_GB2312" w:cs="仿宋_GB2312"/>
          <w:b w:val="0"/>
          <w:bCs w:val="0"/>
          <w:color w:val="000000"/>
          <w:sz w:val="32"/>
          <w:szCs w:val="32"/>
          <w:highlight w:val="none"/>
          <w:lang w:val="en-US" w:eastAsia="zh-CN" w:bidi="ar-SA"/>
        </w:rPr>
        <w:t>（二）</w:t>
      </w:r>
      <w:r>
        <w:rPr>
          <w:rFonts w:hint="eastAsia" w:ascii="仿宋_GB2312" w:hAnsi="仿宋_GB2312" w:eastAsia="仿宋_GB2312" w:cs="仿宋_GB2312"/>
          <w:b w:val="0"/>
          <w:bCs w:val="0"/>
          <w:color w:val="000000"/>
          <w:sz w:val="32"/>
          <w:szCs w:val="32"/>
          <w:highlight w:val="none"/>
          <w:lang w:val="en-US" w:eastAsia="zh-Hans" w:bidi="ar-SA"/>
        </w:rPr>
        <w:t>作为主要成员（前3名）承担省部级以上教育行政部门或有关主管部门的研究课题或工作课题1项，或主持地厅级以上教育行政部门或有关主管部门的研究课题或工作课题1项。</w:t>
      </w:r>
    </w:p>
    <w:p>
      <w:pPr>
        <w:pStyle w:val="7"/>
        <w:keepNext/>
        <w:keepLines/>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color w:val="000000"/>
          <w:sz w:val="32"/>
          <w:szCs w:val="32"/>
          <w:highlight w:val="none"/>
          <w:lang w:val="en-US" w:eastAsia="zh-Hans" w:bidi="ar-SA"/>
        </w:rPr>
      </w:pPr>
      <w:r>
        <w:rPr>
          <w:rFonts w:hint="eastAsia" w:ascii="仿宋_GB2312" w:hAnsi="仿宋_GB2312" w:eastAsia="仿宋_GB2312" w:cs="仿宋_GB2312"/>
          <w:b w:val="0"/>
          <w:bCs w:val="0"/>
          <w:color w:val="000000"/>
          <w:sz w:val="32"/>
          <w:szCs w:val="32"/>
          <w:highlight w:val="none"/>
          <w:lang w:val="en-US" w:eastAsia="zh-CN" w:bidi="ar-SA"/>
        </w:rPr>
        <w:t>（三）</w:t>
      </w:r>
      <w:r>
        <w:rPr>
          <w:rFonts w:hint="eastAsia" w:ascii="仿宋_GB2312" w:hAnsi="仿宋_GB2312" w:eastAsia="仿宋_GB2312" w:cs="仿宋_GB2312"/>
          <w:b w:val="0"/>
          <w:bCs w:val="0"/>
          <w:color w:val="000000"/>
          <w:sz w:val="32"/>
          <w:szCs w:val="32"/>
          <w:highlight w:val="none"/>
          <w:lang w:val="en-US" w:eastAsia="zh-Hans" w:bidi="ar-SA"/>
        </w:rPr>
        <w:t>工作实绩突出，工作经验在自治区级以上工作会议上交流，或被自治区级以上教育等部门认可宣传。且本人被评为自治区级以上先进个人1次。</w:t>
      </w:r>
    </w:p>
    <w:p>
      <w:pPr>
        <w:pStyle w:val="7"/>
        <w:keepNext/>
        <w:keepLines/>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color w:val="000000"/>
          <w:sz w:val="32"/>
          <w:szCs w:val="32"/>
          <w:highlight w:val="none"/>
          <w:lang w:val="en-US" w:eastAsia="zh-Hans" w:bidi="ar-SA"/>
        </w:rPr>
      </w:pPr>
      <w:r>
        <w:rPr>
          <w:rFonts w:hint="eastAsia" w:ascii="仿宋_GB2312" w:hAnsi="仿宋_GB2312" w:eastAsia="仿宋_GB2312" w:cs="仿宋_GB2312"/>
          <w:b w:val="0"/>
          <w:bCs w:val="0"/>
          <w:color w:val="000000"/>
          <w:sz w:val="32"/>
          <w:szCs w:val="32"/>
          <w:highlight w:val="none"/>
          <w:lang w:val="en-US" w:eastAsia="zh-CN" w:bidi="ar-SA"/>
        </w:rPr>
        <w:t>（四）</w:t>
      </w:r>
      <w:r>
        <w:rPr>
          <w:rFonts w:hint="eastAsia" w:ascii="仿宋_GB2312" w:hAnsi="仿宋_GB2312" w:eastAsia="仿宋_GB2312" w:cs="仿宋_GB2312"/>
          <w:b w:val="0"/>
          <w:bCs w:val="0"/>
          <w:color w:val="000000"/>
          <w:sz w:val="32"/>
          <w:szCs w:val="32"/>
          <w:highlight w:val="none"/>
          <w:lang w:val="en-US" w:eastAsia="zh-Hans" w:bidi="ar-SA"/>
        </w:rPr>
        <w:t>出版学生思想教育方面的专著，本人撰写部分字数在8万字以上，如果是几部著作字数累加，要求在10万字以上。</w:t>
      </w:r>
    </w:p>
    <w:p>
      <w:pPr>
        <w:pStyle w:val="7"/>
        <w:keepNext/>
        <w:keepLines/>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color w:val="000000"/>
          <w:sz w:val="32"/>
          <w:szCs w:val="32"/>
          <w:highlight w:val="none"/>
          <w:lang w:val="en-US" w:eastAsia="zh-Hans" w:bidi="ar-SA"/>
        </w:rPr>
      </w:pPr>
      <w:r>
        <w:rPr>
          <w:rFonts w:hint="eastAsia" w:ascii="仿宋_GB2312" w:hAnsi="仿宋_GB2312" w:eastAsia="仿宋_GB2312" w:cs="仿宋_GB2312"/>
          <w:b w:val="0"/>
          <w:bCs w:val="0"/>
          <w:color w:val="000000"/>
          <w:sz w:val="32"/>
          <w:szCs w:val="32"/>
          <w:highlight w:val="none"/>
          <w:lang w:val="en-US" w:eastAsia="zh-CN" w:bidi="ar-SA"/>
        </w:rPr>
        <w:t>（五）</w:t>
      </w:r>
      <w:r>
        <w:rPr>
          <w:rFonts w:hint="eastAsia" w:ascii="仿宋_GB2312" w:hAnsi="仿宋_GB2312" w:eastAsia="仿宋_GB2312" w:cs="仿宋_GB2312"/>
          <w:b w:val="0"/>
          <w:bCs w:val="0"/>
          <w:color w:val="000000"/>
          <w:sz w:val="32"/>
          <w:szCs w:val="32"/>
          <w:highlight w:val="none"/>
          <w:lang w:val="en-US" w:eastAsia="zh-Hans" w:bidi="ar-SA"/>
        </w:rPr>
        <w:t>主编或参编出版自治区以上学生思想政治教育方面的教材，本人撰写部分字数在5万字以上。</w:t>
      </w:r>
    </w:p>
    <w:p>
      <w:pPr>
        <w:pStyle w:val="7"/>
        <w:keepNext/>
        <w:keepLines/>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color w:val="000000"/>
          <w:sz w:val="32"/>
          <w:szCs w:val="32"/>
          <w:highlight w:val="none"/>
          <w:lang w:val="en-US" w:eastAsia="zh-Hans" w:bidi="ar-SA"/>
        </w:rPr>
      </w:pPr>
      <w:r>
        <w:rPr>
          <w:rFonts w:hint="eastAsia" w:ascii="仿宋_GB2312" w:hAnsi="仿宋_GB2312" w:eastAsia="仿宋_GB2312" w:cs="仿宋_GB2312"/>
          <w:b w:val="0"/>
          <w:bCs w:val="0"/>
          <w:color w:val="000000"/>
          <w:sz w:val="32"/>
          <w:szCs w:val="32"/>
          <w:highlight w:val="none"/>
          <w:lang w:val="en-US" w:eastAsia="zh-CN" w:bidi="ar-SA"/>
        </w:rPr>
        <w:t>（六）</w:t>
      </w:r>
      <w:r>
        <w:rPr>
          <w:rFonts w:hint="eastAsia" w:ascii="仿宋_GB2312" w:hAnsi="仿宋_GB2312" w:eastAsia="仿宋_GB2312" w:cs="仿宋_GB2312"/>
          <w:b w:val="0"/>
          <w:bCs w:val="0"/>
          <w:color w:val="000000"/>
          <w:sz w:val="32"/>
          <w:szCs w:val="32"/>
          <w:highlight w:val="none"/>
          <w:lang w:val="en-US" w:eastAsia="zh-Hans" w:bidi="ar-SA"/>
        </w:rPr>
        <w:t>获国家、部委、自治区（省）、厅局教育文化及相关主管部门、各级文联及所属协会、学校主办的常设性科研成果奖励。其中，教育部高等学校科学研究优秀成果奖按全体获奖人员认定；自治区哲学社科优秀成果奖一等奖按获奖人员前5名认定，二、三等奖按获奖人员前3名认定，其他奖项按获奖人员排名第1名认定。</w:t>
      </w:r>
    </w:p>
    <w:p>
      <w:pPr>
        <w:pStyle w:val="7"/>
        <w:keepNext/>
        <w:keepLines/>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color w:val="000000"/>
          <w:sz w:val="32"/>
          <w:szCs w:val="32"/>
          <w:highlight w:val="none"/>
          <w:lang w:val="en-US" w:eastAsia="zh-Hans" w:bidi="ar-SA"/>
        </w:rPr>
      </w:pPr>
      <w:r>
        <w:rPr>
          <w:rFonts w:hint="eastAsia" w:ascii="仿宋_GB2312" w:hAnsi="仿宋_GB2312" w:eastAsia="仿宋_GB2312" w:cs="仿宋_GB2312"/>
          <w:b w:val="0"/>
          <w:bCs w:val="0"/>
          <w:color w:val="000000"/>
          <w:sz w:val="32"/>
          <w:szCs w:val="32"/>
          <w:highlight w:val="none"/>
          <w:lang w:val="en-US" w:eastAsia="zh-CN" w:bidi="ar-SA"/>
        </w:rPr>
        <w:t>（七）</w:t>
      </w:r>
      <w:r>
        <w:rPr>
          <w:rFonts w:hint="eastAsia" w:ascii="仿宋_GB2312" w:hAnsi="仿宋_GB2312" w:eastAsia="仿宋_GB2312" w:cs="仿宋_GB2312"/>
          <w:b w:val="0"/>
          <w:bCs w:val="0"/>
          <w:color w:val="000000"/>
          <w:sz w:val="32"/>
          <w:szCs w:val="32"/>
          <w:highlight w:val="none"/>
          <w:lang w:val="en-US" w:eastAsia="zh-Hans" w:bidi="ar-SA"/>
        </w:rPr>
        <w:t>获得全国高校辅导员素质能力大赛三等奖以上；或获自治区高校辅导员素质能力大赛二等奖及以上；或获得全国高校辅导员年度人物。</w:t>
      </w:r>
    </w:p>
    <w:p>
      <w:pPr>
        <w:pStyle w:val="7"/>
        <w:keepNext/>
        <w:keepLines/>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color w:val="000000"/>
          <w:kern w:val="0"/>
          <w:sz w:val="32"/>
          <w:szCs w:val="32"/>
          <w:highlight w:val="none"/>
          <w:lang w:eastAsia="zh-CN"/>
        </w:rPr>
      </w:pPr>
      <w:r>
        <w:rPr>
          <w:rFonts w:hint="eastAsia" w:ascii="黑体" w:hAnsi="黑体" w:eastAsia="黑体" w:cs="黑体"/>
          <w:color w:val="000000"/>
          <w:kern w:val="0"/>
          <w:sz w:val="32"/>
          <w:szCs w:val="32"/>
          <w:highlight w:val="none"/>
          <w:lang w:val="en-US" w:eastAsia="zh-CN"/>
        </w:rPr>
        <w:t>二、</w:t>
      </w:r>
      <w:r>
        <w:rPr>
          <w:rFonts w:hint="eastAsia" w:ascii="黑体" w:hAnsi="黑体" w:eastAsia="黑体" w:cs="黑体"/>
          <w:color w:val="000000"/>
          <w:kern w:val="0"/>
          <w:sz w:val="32"/>
          <w:szCs w:val="32"/>
          <w:highlight w:val="none"/>
          <w:lang w:eastAsia="zh-CN"/>
        </w:rPr>
        <w:t>申报副研究员资格</w:t>
      </w:r>
      <w:r>
        <w:rPr>
          <w:rFonts w:hint="eastAsia" w:ascii="仿宋_GB2312" w:hAnsi="仿宋_GB2312" w:eastAsia="仿宋_GB2312" w:cs="仿宋_GB2312"/>
          <w:color w:val="000000"/>
          <w:kern w:val="0"/>
          <w:sz w:val="32"/>
          <w:szCs w:val="32"/>
          <w:highlight w:val="none"/>
          <w:lang w:eastAsia="zh-CN"/>
        </w:rPr>
        <w:br w:type="textWrapping"/>
      </w:r>
      <w:r>
        <w:rPr>
          <w:rFonts w:hint="eastAsia" w:ascii="仿宋_GB2312" w:hAnsi="仿宋_GB2312" w:eastAsia="仿宋_GB2312" w:cs="仿宋_GB2312"/>
          <w:color w:val="000000"/>
          <w:kern w:val="0"/>
          <w:sz w:val="32"/>
          <w:szCs w:val="32"/>
          <w:highlight w:val="none"/>
          <w:lang w:eastAsia="zh-CN"/>
        </w:rPr>
        <w:t>　</w:t>
      </w:r>
      <w:r>
        <w:rPr>
          <w:rFonts w:hint="eastAsia" w:ascii="仿宋_GB2312" w:hAnsi="仿宋_GB2312" w:eastAsia="仿宋_GB2312" w:cs="仿宋_GB2312"/>
          <w:color w:val="000000"/>
          <w:kern w:val="0"/>
          <w:sz w:val="32"/>
          <w:szCs w:val="32"/>
          <w:highlight w:val="none"/>
          <w:lang w:val="en-US" w:eastAsia="zh-CN"/>
        </w:rPr>
        <w:t xml:space="preserve"> 受聘</w:t>
      </w:r>
      <w:r>
        <w:rPr>
          <w:rFonts w:hint="eastAsia" w:ascii="仿宋_GB2312" w:hAnsi="仿宋_GB2312" w:eastAsia="仿宋_GB2312" w:cs="仿宋_GB2312"/>
          <w:color w:val="000000"/>
          <w:kern w:val="0"/>
          <w:sz w:val="32"/>
          <w:szCs w:val="32"/>
          <w:highlight w:val="none"/>
          <w:lang w:eastAsia="zh-CN"/>
        </w:rPr>
        <w:t>助理研究员以来，系统讲授1门以上学生思想政治教育理论课、形势政策教育、心理健康教育、职业生涯规划教育、就业指导、创新创业指导课、国防教育等相关课程，且教学效果好。学生思想政治教育工作，并担任辅导员、班主任工作2年以上，</w:t>
      </w:r>
      <w:r>
        <w:rPr>
          <w:rFonts w:hint="eastAsia" w:ascii="仿宋_GB2312" w:hAnsi="仿宋_GB2312" w:eastAsia="仿宋_GB2312" w:cs="仿宋_GB2312"/>
          <w:color w:val="000000"/>
          <w:kern w:val="0"/>
          <w:sz w:val="32"/>
          <w:szCs w:val="32"/>
          <w:highlight w:val="none"/>
          <w:lang w:val="en-US" w:eastAsia="zh-CN"/>
        </w:rPr>
        <w:t>且须</w:t>
      </w:r>
      <w:r>
        <w:rPr>
          <w:rFonts w:hint="eastAsia" w:ascii="仿宋_GB2312" w:hAnsi="仿宋_GB2312" w:eastAsia="仿宋_GB2312" w:cs="仿宋_GB2312"/>
          <w:color w:val="000000"/>
          <w:kern w:val="0"/>
          <w:sz w:val="32"/>
          <w:szCs w:val="32"/>
          <w:highlight w:val="none"/>
          <w:lang w:eastAsia="zh-CN"/>
        </w:rPr>
        <w:t>具备下列条件之三条，其中第（</w:t>
      </w:r>
      <w:r>
        <w:rPr>
          <w:rFonts w:hint="eastAsia" w:ascii="仿宋_GB2312" w:hAnsi="仿宋_GB2312" w:eastAsia="仿宋_GB2312" w:cs="仿宋_GB2312"/>
          <w:color w:val="000000"/>
          <w:kern w:val="0"/>
          <w:sz w:val="32"/>
          <w:szCs w:val="32"/>
          <w:highlight w:val="none"/>
          <w:lang w:val="en-US" w:eastAsia="zh-CN"/>
        </w:rPr>
        <w:t>一</w:t>
      </w: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lang w:val="en-US" w:eastAsia="zh-CN"/>
        </w:rPr>
        <w:t>二</w:t>
      </w:r>
      <w:r>
        <w:rPr>
          <w:rFonts w:hint="eastAsia" w:ascii="仿宋_GB2312" w:hAnsi="仿宋_GB2312" w:eastAsia="仿宋_GB2312" w:cs="仿宋_GB2312"/>
          <w:color w:val="000000"/>
          <w:kern w:val="0"/>
          <w:sz w:val="32"/>
          <w:szCs w:val="32"/>
          <w:highlight w:val="none"/>
          <w:lang w:eastAsia="zh-CN"/>
        </w:rPr>
        <w:t>）条是必备条件：</w:t>
      </w:r>
      <w:r>
        <w:rPr>
          <w:rFonts w:hint="eastAsia" w:ascii="仿宋_GB2312" w:hAnsi="仿宋_GB2312" w:eastAsia="仿宋_GB2312" w:cs="仿宋_GB2312"/>
          <w:color w:val="000000"/>
          <w:kern w:val="0"/>
          <w:sz w:val="32"/>
          <w:szCs w:val="32"/>
          <w:highlight w:val="none"/>
          <w:lang w:eastAsia="zh-CN"/>
        </w:rPr>
        <w:br w:type="textWrapping"/>
      </w:r>
      <w:r>
        <w:rPr>
          <w:rFonts w:hint="eastAsia" w:ascii="仿宋_GB2312" w:hAnsi="仿宋_GB2312" w:eastAsia="仿宋_GB2312" w:cs="仿宋_GB2312"/>
          <w:color w:val="000000"/>
          <w:kern w:val="0"/>
          <w:sz w:val="32"/>
          <w:szCs w:val="32"/>
          <w:highlight w:val="none"/>
          <w:lang w:eastAsia="zh-CN"/>
        </w:rPr>
        <w:t>　　（</w:t>
      </w:r>
      <w:r>
        <w:rPr>
          <w:rFonts w:hint="eastAsia" w:ascii="仿宋_GB2312" w:hAnsi="仿宋_GB2312" w:eastAsia="仿宋_GB2312" w:cs="仿宋_GB2312"/>
          <w:color w:val="000000"/>
          <w:kern w:val="0"/>
          <w:sz w:val="32"/>
          <w:szCs w:val="32"/>
          <w:highlight w:val="none"/>
          <w:lang w:val="en-US" w:eastAsia="zh-CN"/>
        </w:rPr>
        <w:t>一</w:t>
      </w:r>
      <w:r>
        <w:rPr>
          <w:rFonts w:hint="eastAsia" w:ascii="仿宋_GB2312" w:hAnsi="仿宋_GB2312" w:eastAsia="仿宋_GB2312" w:cs="仿宋_GB2312"/>
          <w:color w:val="000000"/>
          <w:kern w:val="0"/>
          <w:sz w:val="32"/>
          <w:szCs w:val="32"/>
          <w:highlight w:val="none"/>
          <w:lang w:eastAsia="zh-CN"/>
        </w:rPr>
        <w:t>）学生思想政治教育方面的研究论文</w:t>
      </w:r>
      <w:r>
        <w:rPr>
          <w:rFonts w:hint="eastAsia" w:ascii="仿宋_GB2312" w:hAnsi="仿宋_GB2312" w:eastAsia="仿宋_GB2312" w:cs="仿宋_GB2312"/>
          <w:color w:val="000000"/>
          <w:kern w:val="0"/>
          <w:sz w:val="32"/>
          <w:szCs w:val="32"/>
          <w:highlight w:val="none"/>
          <w:lang w:val="en-US" w:eastAsia="zh-Hans"/>
        </w:rPr>
        <w:t>或研究报告</w:t>
      </w:r>
      <w:r>
        <w:rPr>
          <w:rFonts w:hint="eastAsia" w:ascii="仿宋_GB2312" w:hAnsi="仿宋_GB2312" w:eastAsia="仿宋_GB2312" w:cs="仿宋_GB2312"/>
          <w:color w:val="000000"/>
          <w:kern w:val="0"/>
          <w:sz w:val="32"/>
          <w:szCs w:val="32"/>
          <w:highlight w:val="none"/>
          <w:lang w:eastAsia="zh-CN"/>
        </w:rPr>
        <w:t>1篇以上。</w:t>
      </w:r>
      <w:r>
        <w:rPr>
          <w:rFonts w:hint="eastAsia" w:ascii="仿宋_GB2312" w:hAnsi="仿宋_GB2312" w:eastAsia="仿宋_GB2312" w:cs="仿宋_GB2312"/>
          <w:color w:val="000000"/>
          <w:kern w:val="0"/>
          <w:sz w:val="32"/>
          <w:szCs w:val="32"/>
          <w:highlight w:val="none"/>
          <w:lang w:eastAsia="zh-CN"/>
        </w:rPr>
        <w:br w:type="textWrapping"/>
      </w:r>
      <w:r>
        <w:rPr>
          <w:rFonts w:hint="eastAsia" w:ascii="仿宋_GB2312" w:hAnsi="仿宋_GB2312" w:eastAsia="仿宋_GB2312" w:cs="仿宋_GB2312"/>
          <w:color w:val="000000"/>
          <w:kern w:val="0"/>
          <w:sz w:val="32"/>
          <w:szCs w:val="32"/>
          <w:highlight w:val="none"/>
          <w:lang w:eastAsia="zh-CN"/>
        </w:rPr>
        <w:t>　　（</w:t>
      </w:r>
      <w:r>
        <w:rPr>
          <w:rFonts w:hint="eastAsia" w:ascii="仿宋_GB2312" w:hAnsi="仿宋_GB2312" w:eastAsia="仿宋_GB2312" w:cs="仿宋_GB2312"/>
          <w:color w:val="000000"/>
          <w:kern w:val="0"/>
          <w:sz w:val="32"/>
          <w:szCs w:val="32"/>
          <w:highlight w:val="none"/>
          <w:lang w:val="en-US" w:eastAsia="zh-CN"/>
        </w:rPr>
        <w:t>二</w:t>
      </w:r>
      <w:r>
        <w:rPr>
          <w:rFonts w:hint="eastAsia" w:ascii="仿宋_GB2312" w:hAnsi="仿宋_GB2312" w:eastAsia="仿宋_GB2312" w:cs="仿宋_GB2312"/>
          <w:color w:val="000000"/>
          <w:kern w:val="0"/>
          <w:sz w:val="32"/>
          <w:szCs w:val="32"/>
          <w:highlight w:val="none"/>
          <w:lang w:eastAsia="zh-CN"/>
        </w:rPr>
        <w:t>）作为主要成员（前3名）承担地厅级以上教育行政部门或有关主管部门的研究课题或工作课题1项。</w:t>
      </w:r>
      <w:r>
        <w:rPr>
          <w:rFonts w:hint="eastAsia" w:ascii="仿宋_GB2312" w:hAnsi="仿宋_GB2312" w:eastAsia="仿宋_GB2312" w:cs="仿宋_GB2312"/>
          <w:color w:val="000000"/>
          <w:kern w:val="0"/>
          <w:sz w:val="32"/>
          <w:szCs w:val="32"/>
          <w:highlight w:val="none"/>
          <w:lang w:eastAsia="zh-CN"/>
        </w:rPr>
        <w:br w:type="textWrapping"/>
      </w:r>
      <w:r>
        <w:rPr>
          <w:rFonts w:hint="eastAsia" w:ascii="仿宋_GB2312" w:hAnsi="仿宋_GB2312" w:eastAsia="仿宋_GB2312" w:cs="仿宋_GB2312"/>
          <w:color w:val="000000"/>
          <w:kern w:val="0"/>
          <w:sz w:val="32"/>
          <w:szCs w:val="32"/>
          <w:highlight w:val="none"/>
          <w:lang w:eastAsia="zh-CN"/>
        </w:rPr>
        <w:t>　　（</w:t>
      </w:r>
      <w:r>
        <w:rPr>
          <w:rFonts w:hint="eastAsia" w:ascii="仿宋_GB2312" w:hAnsi="仿宋_GB2312" w:eastAsia="仿宋_GB2312" w:cs="仿宋_GB2312"/>
          <w:color w:val="000000"/>
          <w:kern w:val="0"/>
          <w:sz w:val="32"/>
          <w:szCs w:val="32"/>
          <w:highlight w:val="none"/>
          <w:lang w:val="en-US" w:eastAsia="zh-CN"/>
        </w:rPr>
        <w:t>三</w:t>
      </w:r>
      <w:r>
        <w:rPr>
          <w:rFonts w:hint="eastAsia" w:ascii="仿宋_GB2312" w:hAnsi="仿宋_GB2312" w:eastAsia="仿宋_GB2312" w:cs="仿宋_GB2312"/>
          <w:color w:val="000000"/>
          <w:kern w:val="0"/>
          <w:sz w:val="32"/>
          <w:szCs w:val="32"/>
          <w:highlight w:val="none"/>
          <w:lang w:eastAsia="zh-CN"/>
        </w:rPr>
        <w:t>）工作业绩突出，工作经验在地厅级以上工作会议交流，或被地厅级以上有关部门认可宣传。且本人被评为地厅级以上先进个人1次。</w:t>
      </w:r>
      <w:r>
        <w:rPr>
          <w:rFonts w:hint="eastAsia" w:ascii="仿宋_GB2312" w:hAnsi="仿宋_GB2312" w:eastAsia="仿宋_GB2312" w:cs="仿宋_GB2312"/>
          <w:color w:val="000000"/>
          <w:kern w:val="0"/>
          <w:sz w:val="32"/>
          <w:szCs w:val="32"/>
          <w:highlight w:val="none"/>
          <w:lang w:eastAsia="zh-CN"/>
        </w:rPr>
        <w:br w:type="textWrapping"/>
      </w:r>
      <w:r>
        <w:rPr>
          <w:rFonts w:hint="eastAsia" w:ascii="仿宋_GB2312" w:hAnsi="仿宋_GB2312" w:eastAsia="仿宋_GB2312" w:cs="仿宋_GB2312"/>
          <w:color w:val="000000"/>
          <w:kern w:val="0"/>
          <w:sz w:val="32"/>
          <w:szCs w:val="32"/>
          <w:highlight w:val="none"/>
          <w:lang w:eastAsia="zh-CN"/>
        </w:rPr>
        <w:t>　　（</w:t>
      </w:r>
      <w:r>
        <w:rPr>
          <w:rFonts w:hint="eastAsia" w:ascii="仿宋_GB2312" w:hAnsi="仿宋_GB2312" w:eastAsia="仿宋_GB2312" w:cs="仿宋_GB2312"/>
          <w:color w:val="000000"/>
          <w:kern w:val="0"/>
          <w:sz w:val="32"/>
          <w:szCs w:val="32"/>
          <w:highlight w:val="none"/>
          <w:lang w:val="en-US" w:eastAsia="zh-CN"/>
        </w:rPr>
        <w:t>四</w:t>
      </w:r>
      <w:r>
        <w:rPr>
          <w:rFonts w:hint="eastAsia" w:ascii="仿宋_GB2312" w:hAnsi="仿宋_GB2312" w:eastAsia="仿宋_GB2312" w:cs="仿宋_GB2312"/>
          <w:color w:val="000000"/>
          <w:kern w:val="0"/>
          <w:sz w:val="32"/>
          <w:szCs w:val="32"/>
          <w:highlight w:val="none"/>
          <w:lang w:eastAsia="zh-CN"/>
        </w:rPr>
        <w:t>）出版学生思想政治教育方面的专著，本人撰写部分字数在5万字以上，如果几部著作字数累加，则要求在8万字以上。</w:t>
      </w:r>
      <w:r>
        <w:rPr>
          <w:rFonts w:hint="eastAsia" w:ascii="仿宋_GB2312" w:hAnsi="仿宋_GB2312" w:eastAsia="仿宋_GB2312" w:cs="仿宋_GB2312"/>
          <w:color w:val="000000"/>
          <w:kern w:val="0"/>
          <w:sz w:val="32"/>
          <w:szCs w:val="32"/>
          <w:highlight w:val="none"/>
          <w:lang w:eastAsia="zh-CN"/>
        </w:rPr>
        <w:br w:type="textWrapping"/>
      </w:r>
      <w:r>
        <w:rPr>
          <w:rFonts w:hint="eastAsia" w:ascii="仿宋_GB2312" w:hAnsi="仿宋_GB2312" w:eastAsia="仿宋_GB2312" w:cs="仿宋_GB2312"/>
          <w:color w:val="000000"/>
          <w:kern w:val="0"/>
          <w:sz w:val="32"/>
          <w:szCs w:val="32"/>
          <w:highlight w:val="none"/>
          <w:lang w:eastAsia="zh-CN"/>
        </w:rPr>
        <w:t>　　（</w:t>
      </w:r>
      <w:r>
        <w:rPr>
          <w:rFonts w:hint="eastAsia" w:ascii="仿宋_GB2312" w:hAnsi="仿宋_GB2312" w:eastAsia="仿宋_GB2312" w:cs="仿宋_GB2312"/>
          <w:color w:val="000000"/>
          <w:kern w:val="0"/>
          <w:sz w:val="32"/>
          <w:szCs w:val="32"/>
          <w:highlight w:val="none"/>
          <w:lang w:val="en-US" w:eastAsia="zh-CN"/>
        </w:rPr>
        <w:t>五</w:t>
      </w:r>
      <w:r>
        <w:rPr>
          <w:rFonts w:hint="eastAsia" w:ascii="仿宋_GB2312" w:hAnsi="仿宋_GB2312" w:eastAsia="仿宋_GB2312" w:cs="仿宋_GB2312"/>
          <w:color w:val="000000"/>
          <w:kern w:val="0"/>
          <w:sz w:val="32"/>
          <w:szCs w:val="32"/>
          <w:highlight w:val="none"/>
          <w:lang w:eastAsia="zh-CN"/>
        </w:rPr>
        <w:t>）主编或参编自治区级以上学生思想政治教育方面的教材，或本人撰写部分字数在3万字以上。</w:t>
      </w:r>
      <w:r>
        <w:rPr>
          <w:rFonts w:hint="eastAsia" w:ascii="仿宋_GB2312" w:hAnsi="仿宋_GB2312" w:eastAsia="仿宋_GB2312" w:cs="仿宋_GB2312"/>
          <w:color w:val="000000"/>
          <w:kern w:val="0"/>
          <w:sz w:val="32"/>
          <w:szCs w:val="32"/>
          <w:highlight w:val="none"/>
          <w:lang w:eastAsia="zh-CN"/>
        </w:rPr>
        <w:br w:type="textWrapping"/>
      </w:r>
      <w:r>
        <w:rPr>
          <w:rFonts w:hint="eastAsia" w:ascii="仿宋_GB2312" w:hAnsi="仿宋_GB2312" w:eastAsia="仿宋_GB2312" w:cs="仿宋_GB2312"/>
          <w:color w:val="000000"/>
          <w:kern w:val="0"/>
          <w:sz w:val="32"/>
          <w:szCs w:val="32"/>
          <w:highlight w:val="none"/>
          <w:lang w:eastAsia="zh-CN"/>
        </w:rPr>
        <w:t>　　（</w:t>
      </w:r>
      <w:r>
        <w:rPr>
          <w:rFonts w:hint="eastAsia" w:ascii="仿宋_GB2312" w:hAnsi="仿宋_GB2312" w:eastAsia="仿宋_GB2312" w:cs="仿宋_GB2312"/>
          <w:color w:val="000000"/>
          <w:kern w:val="0"/>
          <w:sz w:val="32"/>
          <w:szCs w:val="32"/>
          <w:highlight w:val="none"/>
          <w:lang w:val="en-US" w:eastAsia="zh-CN"/>
        </w:rPr>
        <w:t>六</w:t>
      </w:r>
      <w:r>
        <w:rPr>
          <w:rFonts w:hint="eastAsia" w:ascii="仿宋_GB2312" w:hAnsi="仿宋_GB2312" w:eastAsia="仿宋_GB2312" w:cs="仿宋_GB2312"/>
          <w:color w:val="000000"/>
          <w:kern w:val="0"/>
          <w:sz w:val="32"/>
          <w:szCs w:val="32"/>
          <w:highlight w:val="none"/>
          <w:lang w:eastAsia="zh-CN"/>
        </w:rPr>
        <w:t>）获自治区（省）、厅局教育文化及相关主管部门、各级文联及所属协会、学校主办的常设性科研成果奖励。其中，自治区哲学社科优秀成果奖一等奖按获奖人员前5名认定，二、三等奖按获奖人员前3名认定，其他奖项按获奖人员排名第1名认定。</w:t>
      </w:r>
    </w:p>
    <w:p>
      <w:pPr>
        <w:pStyle w:val="7"/>
        <w:keepNext/>
        <w:keepLines/>
        <w:pageBreakBefore w:val="0"/>
        <w:kinsoku/>
        <w:wordWrap/>
        <w:overflowPunct/>
        <w:topLinePunct w:val="0"/>
        <w:autoSpaceDE/>
        <w:autoSpaceDN/>
        <w:bidi w:val="0"/>
        <w:spacing w:before="0" w:after="0" w:line="560" w:lineRule="exact"/>
        <w:ind w:firstLine="612"/>
        <w:jc w:val="both"/>
        <w:textAlignment w:val="auto"/>
        <w:rPr>
          <w:rFonts w:hint="eastAsia" w:ascii="仿宋_GB2312" w:hAnsi="仿宋_GB2312" w:eastAsia="仿宋_GB2312" w:cs="仿宋_GB2312"/>
          <w:color w:val="000000"/>
          <w:kern w:val="0"/>
          <w:sz w:val="32"/>
          <w:szCs w:val="32"/>
          <w:highlight w:val="none"/>
          <w:lang w:val="en-US" w:eastAsia="zh-Hans"/>
        </w:rPr>
      </w:pPr>
      <w:r>
        <w:rPr>
          <w:rFonts w:hint="eastAsia" w:ascii="仿宋_GB2312" w:hAnsi="仿宋_GB2312" w:eastAsia="仿宋_GB2312" w:cs="仿宋_GB2312"/>
          <w:color w:val="000000"/>
          <w:kern w:val="0"/>
          <w:sz w:val="32"/>
          <w:szCs w:val="32"/>
          <w:highlight w:val="none"/>
          <w:lang w:val="en-US" w:eastAsia="zh-CN"/>
        </w:rPr>
        <w:t>（七）</w:t>
      </w:r>
      <w:r>
        <w:rPr>
          <w:rFonts w:hint="eastAsia" w:ascii="仿宋_GB2312" w:hAnsi="仿宋_GB2312" w:eastAsia="仿宋_GB2312" w:cs="仿宋_GB2312"/>
          <w:color w:val="000000"/>
          <w:kern w:val="0"/>
          <w:sz w:val="32"/>
          <w:szCs w:val="32"/>
          <w:highlight w:val="none"/>
          <w:lang w:val="en-US" w:eastAsia="zh-Hans"/>
        </w:rPr>
        <w:t>获得自治区高校辅导员年度人物提名奖或获自治区级优秀辅导员荣誉称号；或在自治区高校辅导员职业能力大赛获三等奖及以上奖励1次。</w:t>
      </w:r>
    </w:p>
    <w:p>
      <w:pPr>
        <w:pStyle w:val="9"/>
        <w:pageBreakBefore w:val="0"/>
        <w:widowControl/>
        <w:kinsoku/>
        <w:wordWrap/>
        <w:overflowPunct/>
        <w:topLinePunct w:val="0"/>
        <w:autoSpaceDE/>
        <w:autoSpaceDN/>
        <w:bidi w:val="0"/>
        <w:spacing w:line="560" w:lineRule="exact"/>
        <w:ind w:left="0" w:firstLine="579" w:firstLineChars="181"/>
        <w:textAlignment w:val="auto"/>
        <w:rPr>
          <w:rFonts w:hint="eastAsia" w:ascii="黑体" w:hAnsi="黑体" w:eastAsia="黑体" w:cs="黑体"/>
          <w:bCs/>
          <w:kern w:val="0"/>
          <w:sz w:val="32"/>
          <w:szCs w:val="32"/>
          <w:highlight w:val="none"/>
          <w:lang w:val="en-US"/>
        </w:rPr>
      </w:pPr>
      <w:r>
        <w:rPr>
          <w:rFonts w:hint="eastAsia" w:ascii="黑体" w:hAnsi="黑体" w:eastAsia="黑体" w:cs="黑体"/>
          <w:bCs/>
          <w:kern w:val="0"/>
          <w:sz w:val="32"/>
          <w:szCs w:val="32"/>
          <w:highlight w:val="none"/>
          <w:lang w:eastAsia="zh-CN"/>
        </w:rPr>
        <w:t>三、申报助理研究员资格</w:t>
      </w:r>
    </w:p>
    <w:p>
      <w:pPr>
        <w:keepNext w:val="0"/>
        <w:keepLines w:val="0"/>
        <w:pageBreakBefore w:val="0"/>
        <w:widowControl w:val="0"/>
        <w:suppressLineNumbers w:val="0"/>
        <w:kinsoku/>
        <w:wordWrap/>
        <w:overflowPunct/>
        <w:topLinePunct w:val="0"/>
        <w:autoSpaceDE/>
        <w:autoSpaceDN/>
        <w:bidi w:val="0"/>
        <w:spacing w:before="0" w:beforeAutospacing="0" w:after="0" w:afterAutospacing="0" w:line="560" w:lineRule="exact"/>
        <w:ind w:left="0" w:right="0" w:firstLine="640" w:firstLineChars="200"/>
        <w:jc w:val="both"/>
        <w:textAlignment w:val="auto"/>
        <w:rPr>
          <w:rFonts w:hint="eastAsia" w:ascii="方正楷体_GB2312" w:hAnsi="方正楷体_GB2312" w:eastAsia="方正楷体_GB2312" w:cs="方正楷体_GB2312"/>
          <w:bCs/>
          <w:kern w:val="0"/>
          <w:sz w:val="32"/>
          <w:szCs w:val="32"/>
          <w:highlight w:val="none"/>
          <w:lang w:val="en-US"/>
        </w:rPr>
      </w:pPr>
      <w:r>
        <w:rPr>
          <w:rFonts w:hint="eastAsia" w:ascii="方正楷体_GB2312" w:hAnsi="方正楷体_GB2312" w:eastAsia="方正楷体_GB2312" w:cs="方正楷体_GB2312"/>
          <w:bCs/>
          <w:kern w:val="0"/>
          <w:sz w:val="32"/>
          <w:szCs w:val="32"/>
          <w:highlight w:val="none"/>
          <w:lang w:val="en-US" w:eastAsia="zh-CN" w:bidi="ar"/>
        </w:rPr>
        <w:t>（一）工作能力条件</w:t>
      </w:r>
    </w:p>
    <w:p>
      <w:pPr>
        <w:keepNext w:val="0"/>
        <w:keepLines w:val="0"/>
        <w:pageBreakBefore w:val="0"/>
        <w:widowControl w:val="0"/>
        <w:suppressLineNumbers w:val="0"/>
        <w:kinsoku/>
        <w:wordWrap/>
        <w:overflowPunct/>
        <w:topLinePunct w:val="0"/>
        <w:autoSpaceDE/>
        <w:autoSpaceDN/>
        <w:bidi w:val="0"/>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bCs w:val="0"/>
          <w:kern w:val="0"/>
          <w:sz w:val="32"/>
          <w:szCs w:val="32"/>
          <w:highlight w:val="none"/>
          <w:lang w:val="en-US"/>
        </w:rPr>
      </w:pPr>
      <w:r>
        <w:rPr>
          <w:rFonts w:hint="eastAsia" w:ascii="仿宋_GB2312" w:hAnsi="仿宋_GB2312" w:eastAsia="仿宋_GB2312" w:cs="仿宋_GB2312"/>
          <w:kern w:val="0"/>
          <w:sz w:val="32"/>
          <w:szCs w:val="32"/>
          <w:highlight w:val="none"/>
          <w:lang w:val="en-US" w:eastAsia="zh-CN" w:bidi="ar"/>
        </w:rPr>
        <w:t>1.具有一定思想政治教育专业知识，了解学生的思想发展规律，围绕学生、关照学生、服务学生，全面系统地开展学生思想政治教育和管理工作。掌握思想政治工作的基本规律，能运用思想政治教育的基本原理和方法开展学生工作。</w:t>
      </w:r>
    </w:p>
    <w:p>
      <w:pPr>
        <w:keepNext w:val="0"/>
        <w:keepLines w:val="0"/>
        <w:pageBreakBefore w:val="0"/>
        <w:widowControl w:val="0"/>
        <w:suppressLineNumbers w:val="0"/>
        <w:kinsoku/>
        <w:wordWrap/>
        <w:overflowPunct/>
        <w:topLinePunct w:val="0"/>
        <w:autoSpaceDE/>
        <w:autoSpaceDN/>
        <w:bidi w:val="0"/>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bCs w:val="0"/>
          <w:kern w:val="0"/>
          <w:sz w:val="32"/>
          <w:szCs w:val="32"/>
          <w:highlight w:val="none"/>
          <w:lang w:val="en-US"/>
        </w:rPr>
      </w:pPr>
      <w:r>
        <w:rPr>
          <w:rFonts w:hint="eastAsia" w:ascii="仿宋_GB2312" w:hAnsi="仿宋_GB2312" w:eastAsia="仿宋_GB2312" w:cs="仿宋_GB2312"/>
          <w:kern w:val="0"/>
          <w:sz w:val="32"/>
          <w:szCs w:val="32"/>
          <w:highlight w:val="none"/>
          <w:lang w:val="en-US" w:eastAsia="zh-CN" w:bidi="ar"/>
        </w:rPr>
        <w:t>2.能独立开展学生思想政治教育和日常教育管理工作，认真履行岗位职责，完成学生日常管理和班主任工作，所带班集体学风优良、整体精神面貌积极向上。</w:t>
      </w:r>
    </w:p>
    <w:p>
      <w:pPr>
        <w:keepNext w:val="0"/>
        <w:keepLines w:val="0"/>
        <w:pageBreakBefore w:val="0"/>
        <w:widowControl w:val="0"/>
        <w:suppressLineNumbers w:val="0"/>
        <w:kinsoku/>
        <w:wordWrap/>
        <w:overflowPunct/>
        <w:topLinePunct w:val="0"/>
        <w:autoSpaceDE/>
        <w:autoSpaceDN/>
        <w:bidi w:val="0"/>
        <w:spacing w:before="0" w:beforeAutospacing="0" w:after="0" w:afterAutospacing="0" w:line="560" w:lineRule="exact"/>
        <w:ind w:left="0" w:right="0" w:firstLine="640" w:firstLineChars="200"/>
        <w:jc w:val="both"/>
        <w:textAlignment w:val="auto"/>
        <w:rPr>
          <w:rFonts w:hint="eastAsia" w:ascii="方正楷体_GB2312" w:hAnsi="方正楷体_GB2312" w:eastAsia="方正楷体_GB2312" w:cs="方正楷体_GB2312"/>
          <w:bCs/>
          <w:kern w:val="0"/>
          <w:sz w:val="32"/>
          <w:szCs w:val="32"/>
          <w:highlight w:val="none"/>
          <w:lang w:val="en-US"/>
        </w:rPr>
      </w:pPr>
      <w:r>
        <w:rPr>
          <w:rFonts w:hint="eastAsia" w:ascii="方正楷体_GB2312" w:hAnsi="方正楷体_GB2312" w:eastAsia="方正楷体_GB2312" w:cs="方正楷体_GB2312"/>
          <w:bCs/>
          <w:kern w:val="0"/>
          <w:sz w:val="32"/>
          <w:szCs w:val="32"/>
          <w:highlight w:val="none"/>
          <w:lang w:val="en-US" w:eastAsia="zh-CN" w:bidi="ar"/>
        </w:rPr>
        <w:t>（二）教学科研业绩条件</w:t>
      </w:r>
    </w:p>
    <w:p>
      <w:pPr>
        <w:keepNext w:val="0"/>
        <w:keepLines w:val="0"/>
        <w:pageBreakBefore w:val="0"/>
        <w:widowControl w:val="0"/>
        <w:suppressLineNumbers w:val="0"/>
        <w:kinsoku/>
        <w:wordWrap/>
        <w:overflowPunct/>
        <w:topLinePunct w:val="0"/>
        <w:autoSpaceDE/>
        <w:autoSpaceDN/>
        <w:bidi w:val="0"/>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bCs w:val="0"/>
          <w:kern w:val="0"/>
          <w:sz w:val="32"/>
          <w:szCs w:val="32"/>
          <w:highlight w:val="none"/>
          <w:lang w:val="en-US"/>
        </w:rPr>
      </w:pPr>
      <w:r>
        <w:rPr>
          <w:rFonts w:hint="eastAsia" w:ascii="仿宋_GB2312" w:hAnsi="仿宋_GB2312" w:eastAsia="仿宋_GB2312" w:cs="仿宋_GB2312"/>
          <w:kern w:val="0"/>
          <w:sz w:val="32"/>
          <w:szCs w:val="32"/>
          <w:highlight w:val="none"/>
          <w:lang w:val="en-US" w:eastAsia="zh-CN" w:bidi="ar"/>
        </w:rPr>
        <w:t>1.具备讲授学生思想政治教育或形势政策教育、心理健康教育、职业生涯规划教育、创新创业指导课、就业指导、国防教育等相关课程的讲授能力，并从事辅导员和相关学生思想政治教育课程2年以上，综合考核合格以上。</w:t>
      </w:r>
    </w:p>
    <w:p>
      <w:pPr>
        <w:keepNext w:val="0"/>
        <w:keepLines w:val="0"/>
        <w:pageBreakBefore w:val="0"/>
        <w:widowControl w:val="0"/>
        <w:suppressLineNumbers w:val="0"/>
        <w:kinsoku/>
        <w:wordWrap/>
        <w:overflowPunct/>
        <w:topLinePunct w:val="0"/>
        <w:autoSpaceDE/>
        <w:autoSpaceDN/>
        <w:bidi w:val="0"/>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bCs w:val="0"/>
          <w:kern w:val="0"/>
          <w:sz w:val="32"/>
          <w:szCs w:val="32"/>
          <w:highlight w:val="none"/>
          <w:lang w:val="en-US"/>
        </w:rPr>
      </w:pPr>
      <w:r>
        <w:rPr>
          <w:rFonts w:hint="eastAsia" w:ascii="仿宋_GB2312" w:hAnsi="仿宋_GB2312" w:eastAsia="仿宋_GB2312" w:cs="仿宋_GB2312"/>
          <w:kern w:val="0"/>
          <w:sz w:val="32"/>
          <w:szCs w:val="32"/>
          <w:highlight w:val="none"/>
          <w:lang w:val="en-US" w:eastAsia="zh-CN" w:bidi="ar"/>
        </w:rPr>
        <w:t>2.任现职以来，须具备下列第A—D条中的一条：</w:t>
      </w:r>
    </w:p>
    <w:p>
      <w:pPr>
        <w:keepNext w:val="0"/>
        <w:keepLines w:val="0"/>
        <w:pageBreakBefore w:val="0"/>
        <w:widowControl w:val="0"/>
        <w:suppressLineNumbers w:val="0"/>
        <w:kinsoku/>
        <w:wordWrap/>
        <w:overflowPunct/>
        <w:topLinePunct w:val="0"/>
        <w:autoSpaceDE/>
        <w:autoSpaceDN/>
        <w:bidi w:val="0"/>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bCs w:val="0"/>
          <w:kern w:val="0"/>
          <w:sz w:val="32"/>
          <w:szCs w:val="32"/>
          <w:highlight w:val="none"/>
          <w:lang w:val="en-US"/>
        </w:rPr>
      </w:pPr>
      <w:r>
        <w:rPr>
          <w:rFonts w:hint="eastAsia" w:ascii="仿宋_GB2312" w:hAnsi="仿宋_GB2312" w:eastAsia="仿宋_GB2312" w:cs="仿宋_GB2312"/>
          <w:kern w:val="0"/>
          <w:sz w:val="32"/>
          <w:szCs w:val="32"/>
          <w:highlight w:val="none"/>
          <w:lang w:val="en-US" w:eastAsia="zh-CN" w:bidi="ar"/>
        </w:rPr>
        <w:t>A.发表学生思想政治教育研究学术论文1篇以上。</w:t>
      </w:r>
    </w:p>
    <w:p>
      <w:pPr>
        <w:keepNext w:val="0"/>
        <w:keepLines w:val="0"/>
        <w:pageBreakBefore w:val="0"/>
        <w:widowControl w:val="0"/>
        <w:suppressLineNumbers w:val="0"/>
        <w:kinsoku/>
        <w:wordWrap/>
        <w:overflowPunct/>
        <w:topLinePunct w:val="0"/>
        <w:autoSpaceDE/>
        <w:autoSpaceDN/>
        <w:bidi w:val="0"/>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bCs w:val="0"/>
          <w:kern w:val="0"/>
          <w:sz w:val="32"/>
          <w:szCs w:val="32"/>
          <w:highlight w:val="none"/>
          <w:lang w:val="en-US"/>
        </w:rPr>
      </w:pPr>
      <w:r>
        <w:rPr>
          <w:rFonts w:hint="eastAsia" w:ascii="仿宋_GB2312" w:hAnsi="仿宋_GB2312" w:eastAsia="仿宋_GB2312" w:cs="仿宋_GB2312"/>
          <w:kern w:val="0"/>
          <w:sz w:val="32"/>
          <w:szCs w:val="32"/>
          <w:highlight w:val="none"/>
          <w:lang w:val="en-US" w:eastAsia="zh-CN" w:bidi="ar"/>
        </w:rPr>
        <w:t>B.参与校级以上思想政治教育类科研课题1项（前3名）；或自治区级以上思想政治类科研项目1项（前3名）。</w:t>
      </w:r>
    </w:p>
    <w:p>
      <w:pPr>
        <w:keepNext w:val="0"/>
        <w:keepLines w:val="0"/>
        <w:pageBreakBefore w:val="0"/>
        <w:widowControl w:val="0"/>
        <w:suppressLineNumbers w:val="0"/>
        <w:kinsoku/>
        <w:wordWrap/>
        <w:overflowPunct/>
        <w:topLinePunct w:val="0"/>
        <w:autoSpaceDE/>
        <w:autoSpaceDN/>
        <w:bidi w:val="0"/>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bCs w:val="0"/>
          <w:kern w:val="0"/>
          <w:sz w:val="32"/>
          <w:szCs w:val="32"/>
          <w:highlight w:val="none"/>
          <w:lang w:val="en-US"/>
        </w:rPr>
      </w:pPr>
      <w:r>
        <w:rPr>
          <w:rFonts w:hint="eastAsia" w:ascii="仿宋_GB2312" w:hAnsi="仿宋_GB2312" w:eastAsia="仿宋_GB2312" w:cs="仿宋_GB2312"/>
          <w:kern w:val="0"/>
          <w:sz w:val="32"/>
          <w:szCs w:val="32"/>
          <w:highlight w:val="none"/>
          <w:lang w:val="en-US" w:eastAsia="zh-CN" w:bidi="ar"/>
        </w:rPr>
        <w:t>C.获得校级以上思想政治教育或党建类奖励1次以上。</w:t>
      </w:r>
    </w:p>
    <w:p>
      <w:pPr>
        <w:keepNext w:val="0"/>
        <w:keepLines w:val="0"/>
        <w:pageBreakBefore w:val="0"/>
        <w:widowControl w:val="0"/>
        <w:suppressLineNumbers w:val="0"/>
        <w:kinsoku/>
        <w:wordWrap/>
        <w:overflowPunct/>
        <w:topLinePunct w:val="0"/>
        <w:autoSpaceDE/>
        <w:autoSpaceDN/>
        <w:bidi w:val="0"/>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kern w:val="0"/>
          <w:sz w:val="32"/>
          <w:szCs w:val="32"/>
          <w:highlight w:val="none"/>
          <w:lang w:val="en-US"/>
        </w:rPr>
      </w:pPr>
      <w:r>
        <w:rPr>
          <w:rFonts w:hint="eastAsia" w:ascii="仿宋_GB2312" w:hAnsi="仿宋_GB2312" w:eastAsia="仿宋_GB2312" w:cs="仿宋_GB2312"/>
          <w:kern w:val="0"/>
          <w:sz w:val="32"/>
          <w:szCs w:val="32"/>
          <w:highlight w:val="none"/>
          <w:lang w:val="en-US" w:eastAsia="zh-CN" w:bidi="ar"/>
        </w:rPr>
        <w:t>D.获得校级以上思想政治类竞赛奖1项以上；或辅导学生参加思想政治类竞赛获校级以上奖励1项。</w:t>
      </w:r>
    </w:p>
    <w:p>
      <w:pPr>
        <w:keepNext w:val="0"/>
        <w:keepLines w:val="0"/>
        <w:pageBreakBefore w:val="0"/>
        <w:widowControl w:val="0"/>
        <w:suppressLineNumbers w:val="0"/>
        <w:kinsoku/>
        <w:wordWrap/>
        <w:overflowPunct/>
        <w:topLinePunct w:val="0"/>
        <w:autoSpaceDE/>
        <w:autoSpaceDN/>
        <w:bidi w:val="0"/>
        <w:spacing w:before="0" w:beforeAutospacing="0" w:after="0" w:afterAutospacing="0" w:line="560" w:lineRule="exact"/>
        <w:ind w:left="0" w:right="0" w:firstLine="640" w:firstLineChars="200"/>
        <w:jc w:val="both"/>
        <w:textAlignment w:val="auto"/>
        <w:rPr>
          <w:rFonts w:hint="eastAsia" w:ascii="黑体" w:hAnsi="黑体" w:eastAsia="黑体" w:cs="黑体"/>
          <w:bCs/>
          <w:kern w:val="0"/>
          <w:sz w:val="32"/>
          <w:szCs w:val="32"/>
          <w:highlight w:val="none"/>
          <w:lang w:val="en-US"/>
        </w:rPr>
      </w:pPr>
      <w:r>
        <w:rPr>
          <w:rFonts w:hint="eastAsia" w:ascii="黑体" w:hAnsi="黑体" w:eastAsia="黑体" w:cs="黑体"/>
          <w:bCs/>
          <w:kern w:val="0"/>
          <w:sz w:val="32"/>
          <w:szCs w:val="32"/>
          <w:highlight w:val="none"/>
          <w:lang w:val="en-US" w:eastAsia="zh-CN" w:bidi="ar"/>
        </w:rPr>
        <w:t>四、申报研究实习员资格</w:t>
      </w:r>
    </w:p>
    <w:p>
      <w:pPr>
        <w:keepNext w:val="0"/>
        <w:keepLines w:val="0"/>
        <w:pageBreakBefore w:val="0"/>
        <w:widowControl w:val="0"/>
        <w:suppressLineNumbers w:val="0"/>
        <w:kinsoku/>
        <w:wordWrap/>
        <w:overflowPunct/>
        <w:topLinePunct w:val="0"/>
        <w:autoSpaceDE/>
        <w:autoSpaceDN/>
        <w:bidi w:val="0"/>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Cs/>
          <w:kern w:val="0"/>
          <w:sz w:val="32"/>
          <w:szCs w:val="32"/>
          <w:highlight w:val="none"/>
          <w:lang w:val="en-US"/>
        </w:rPr>
      </w:pPr>
      <w:r>
        <w:rPr>
          <w:rFonts w:hint="eastAsia" w:ascii="仿宋_GB2312" w:hAnsi="仿宋_GB2312" w:eastAsia="仿宋_GB2312" w:cs="仿宋_GB2312"/>
          <w:bCs/>
          <w:kern w:val="0"/>
          <w:sz w:val="32"/>
          <w:szCs w:val="32"/>
          <w:highlight w:val="none"/>
          <w:lang w:val="en-US" w:eastAsia="zh-CN" w:bidi="ar"/>
        </w:rPr>
        <w:t>申报研究实习员需具备下列条件：</w:t>
      </w:r>
    </w:p>
    <w:p>
      <w:pPr>
        <w:keepNext w:val="0"/>
        <w:keepLines w:val="0"/>
        <w:pageBreakBefore w:val="0"/>
        <w:widowControl w:val="0"/>
        <w:suppressLineNumbers w:val="0"/>
        <w:kinsoku/>
        <w:wordWrap/>
        <w:overflowPunct/>
        <w:topLinePunct w:val="0"/>
        <w:autoSpaceDE/>
        <w:autoSpaceDN/>
        <w:bidi w:val="0"/>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bCs w:val="0"/>
          <w:kern w:val="0"/>
          <w:sz w:val="32"/>
          <w:szCs w:val="32"/>
          <w:highlight w:val="none"/>
          <w:lang w:val="en-US"/>
        </w:rPr>
      </w:pPr>
      <w:r>
        <w:rPr>
          <w:rFonts w:hint="eastAsia" w:ascii="仿宋_GB2312" w:hAnsi="仿宋_GB2312" w:eastAsia="仿宋_GB2312" w:cs="仿宋_GB2312"/>
          <w:kern w:val="0"/>
          <w:sz w:val="32"/>
          <w:szCs w:val="32"/>
          <w:highlight w:val="none"/>
          <w:lang w:val="en-US" w:eastAsia="zh-CN" w:bidi="ar"/>
        </w:rPr>
        <w:t>（一）具有一定思想政治教育专业知识，了解学生的思想发展规律，围绕学生、关照学生、服务学生，能开展学生思想政治教育和管理工作。</w:t>
      </w:r>
    </w:p>
    <w:p>
      <w:pPr>
        <w:keepNext w:val="0"/>
        <w:keepLines w:val="0"/>
        <w:pageBreakBefore w:val="0"/>
        <w:widowControl w:val="0"/>
        <w:suppressLineNumbers w:val="0"/>
        <w:kinsoku/>
        <w:wordWrap/>
        <w:overflowPunct/>
        <w:topLinePunct w:val="0"/>
        <w:autoSpaceDE/>
        <w:autoSpaceDN/>
        <w:bidi w:val="0"/>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bCs w:val="0"/>
          <w:kern w:val="0"/>
          <w:sz w:val="32"/>
          <w:szCs w:val="32"/>
          <w:highlight w:val="none"/>
          <w:lang w:val="en-US"/>
        </w:rPr>
      </w:pPr>
      <w:r>
        <w:rPr>
          <w:rFonts w:hint="eastAsia" w:ascii="仿宋_GB2312" w:hAnsi="仿宋_GB2312" w:eastAsia="仿宋_GB2312" w:cs="仿宋_GB2312"/>
          <w:kern w:val="0"/>
          <w:sz w:val="32"/>
          <w:szCs w:val="32"/>
          <w:highlight w:val="none"/>
          <w:lang w:val="en-US" w:eastAsia="zh-CN" w:bidi="ar"/>
        </w:rPr>
        <w:t>（二）具有一定的本专业知识。</w:t>
      </w:r>
    </w:p>
    <w:p>
      <w:pPr>
        <w:pageBreakBefore w:val="0"/>
        <w:kinsoku/>
        <w:wordWrap/>
        <w:overflowPunct/>
        <w:topLinePunct w:val="0"/>
        <w:autoSpaceDE/>
        <w:autoSpaceDN/>
        <w:bidi w:val="0"/>
        <w:spacing w:line="560" w:lineRule="exact"/>
        <w:jc w:val="center"/>
        <w:textAlignment w:val="auto"/>
        <w:rPr>
          <w:rFonts w:hint="eastAsia" w:ascii="方正公文小标宋" w:hAnsi="方正公文小标宋" w:eastAsia="方正公文小标宋" w:cs="方正公文小标宋"/>
          <w:color w:val="000000"/>
          <w:sz w:val="44"/>
          <w:szCs w:val="44"/>
          <w:highlight w:val="none"/>
        </w:rPr>
      </w:pPr>
    </w:p>
    <w:p>
      <w:pPr>
        <w:pageBreakBefore w:val="0"/>
        <w:kinsoku/>
        <w:wordWrap/>
        <w:overflowPunct/>
        <w:topLinePunct w:val="0"/>
        <w:autoSpaceDE/>
        <w:autoSpaceDN/>
        <w:bidi w:val="0"/>
        <w:spacing w:line="560" w:lineRule="exact"/>
        <w:jc w:val="center"/>
        <w:textAlignment w:val="auto"/>
        <w:rPr>
          <w:rFonts w:hint="eastAsia" w:ascii="方正公文小标宋" w:hAnsi="方正公文小标宋" w:eastAsia="方正公文小标宋" w:cs="方正公文小标宋"/>
          <w:color w:val="000000"/>
          <w:sz w:val="44"/>
          <w:szCs w:val="44"/>
          <w:highlight w:val="none"/>
        </w:rPr>
      </w:pPr>
    </w:p>
    <w:p>
      <w:pPr>
        <w:pageBreakBefore w:val="0"/>
        <w:kinsoku/>
        <w:wordWrap/>
        <w:overflowPunct/>
        <w:topLinePunct w:val="0"/>
        <w:autoSpaceDE/>
        <w:autoSpaceDN/>
        <w:bidi w:val="0"/>
        <w:spacing w:line="560" w:lineRule="exact"/>
        <w:jc w:val="center"/>
        <w:textAlignment w:val="auto"/>
        <w:rPr>
          <w:rFonts w:hint="eastAsia" w:ascii="方正公文小标宋" w:hAnsi="方正公文小标宋" w:eastAsia="方正公文小标宋" w:cs="方正公文小标宋"/>
          <w:color w:val="000000"/>
          <w:sz w:val="44"/>
          <w:szCs w:val="44"/>
          <w:highlight w:val="none"/>
        </w:rPr>
      </w:pPr>
    </w:p>
    <w:p>
      <w:pPr>
        <w:pageBreakBefore w:val="0"/>
        <w:kinsoku/>
        <w:wordWrap/>
        <w:overflowPunct/>
        <w:topLinePunct w:val="0"/>
        <w:autoSpaceDE/>
        <w:autoSpaceDN/>
        <w:bidi w:val="0"/>
        <w:spacing w:line="560" w:lineRule="exact"/>
        <w:jc w:val="center"/>
        <w:textAlignment w:val="auto"/>
        <w:rPr>
          <w:rFonts w:hint="eastAsia" w:ascii="方正公文小标宋" w:hAnsi="方正公文小标宋" w:eastAsia="方正公文小标宋" w:cs="方正公文小标宋"/>
          <w:color w:val="000000"/>
          <w:sz w:val="44"/>
          <w:szCs w:val="44"/>
          <w:highlight w:val="none"/>
        </w:rPr>
      </w:pPr>
    </w:p>
    <w:p>
      <w:pPr>
        <w:pageBreakBefore w:val="0"/>
        <w:kinsoku/>
        <w:wordWrap/>
        <w:overflowPunct/>
        <w:topLinePunct w:val="0"/>
        <w:autoSpaceDE/>
        <w:autoSpaceDN/>
        <w:bidi w:val="0"/>
        <w:spacing w:line="560" w:lineRule="exact"/>
        <w:jc w:val="center"/>
        <w:textAlignment w:val="auto"/>
        <w:rPr>
          <w:rFonts w:hint="eastAsia" w:ascii="方正公文小标宋" w:hAnsi="方正公文小标宋" w:eastAsia="方正公文小标宋" w:cs="方正公文小标宋"/>
          <w:color w:val="000000"/>
          <w:sz w:val="44"/>
          <w:szCs w:val="44"/>
          <w:highlight w:val="none"/>
        </w:rPr>
      </w:pPr>
    </w:p>
    <w:p>
      <w:pPr>
        <w:pageBreakBefore w:val="0"/>
        <w:kinsoku/>
        <w:wordWrap/>
        <w:overflowPunct/>
        <w:topLinePunct w:val="0"/>
        <w:autoSpaceDE/>
        <w:autoSpaceDN/>
        <w:bidi w:val="0"/>
        <w:spacing w:line="560" w:lineRule="exact"/>
        <w:jc w:val="center"/>
        <w:textAlignment w:val="auto"/>
        <w:rPr>
          <w:rFonts w:hint="eastAsia" w:ascii="方正公文小标宋" w:hAnsi="方正公文小标宋" w:eastAsia="方正公文小标宋" w:cs="方正公文小标宋"/>
          <w:color w:val="000000"/>
          <w:sz w:val="44"/>
          <w:szCs w:val="44"/>
          <w:highlight w:val="none"/>
        </w:rPr>
      </w:pPr>
    </w:p>
    <w:p>
      <w:pPr>
        <w:pageBreakBefore w:val="0"/>
        <w:kinsoku/>
        <w:wordWrap/>
        <w:overflowPunct/>
        <w:topLinePunct w:val="0"/>
        <w:autoSpaceDE/>
        <w:autoSpaceDN/>
        <w:bidi w:val="0"/>
        <w:spacing w:line="560" w:lineRule="exact"/>
        <w:jc w:val="center"/>
        <w:textAlignment w:val="auto"/>
        <w:rPr>
          <w:rFonts w:hint="eastAsia" w:ascii="方正公文小标宋" w:hAnsi="方正公文小标宋" w:eastAsia="方正公文小标宋" w:cs="方正公文小标宋"/>
          <w:color w:val="000000"/>
          <w:sz w:val="44"/>
          <w:szCs w:val="44"/>
          <w:highlight w:val="none"/>
        </w:rPr>
      </w:pPr>
    </w:p>
    <w:p>
      <w:pPr>
        <w:pageBreakBefore w:val="0"/>
        <w:kinsoku/>
        <w:wordWrap/>
        <w:overflowPunct/>
        <w:topLinePunct w:val="0"/>
        <w:autoSpaceDE/>
        <w:autoSpaceDN/>
        <w:bidi w:val="0"/>
        <w:spacing w:line="560" w:lineRule="exact"/>
        <w:jc w:val="center"/>
        <w:textAlignment w:val="auto"/>
        <w:rPr>
          <w:rFonts w:hint="eastAsia" w:ascii="方正公文小标宋" w:hAnsi="方正公文小标宋" w:eastAsia="方正公文小标宋" w:cs="方正公文小标宋"/>
          <w:color w:val="000000"/>
          <w:sz w:val="44"/>
          <w:szCs w:val="44"/>
          <w:highlight w:val="none"/>
        </w:rPr>
      </w:pPr>
    </w:p>
    <w:p>
      <w:pPr>
        <w:pageBreakBefore w:val="0"/>
        <w:kinsoku/>
        <w:wordWrap/>
        <w:overflowPunct/>
        <w:topLinePunct w:val="0"/>
        <w:autoSpaceDE/>
        <w:autoSpaceDN/>
        <w:bidi w:val="0"/>
        <w:spacing w:line="560" w:lineRule="exact"/>
        <w:jc w:val="center"/>
        <w:textAlignment w:val="auto"/>
        <w:rPr>
          <w:rFonts w:hint="eastAsia" w:ascii="方正公文小标宋" w:hAnsi="方正公文小标宋" w:eastAsia="方正公文小标宋" w:cs="方正公文小标宋"/>
          <w:color w:val="000000"/>
          <w:sz w:val="44"/>
          <w:szCs w:val="44"/>
          <w:highlight w:val="none"/>
        </w:rPr>
      </w:pPr>
    </w:p>
    <w:p>
      <w:pPr>
        <w:pageBreakBefore w:val="0"/>
        <w:kinsoku/>
        <w:wordWrap/>
        <w:overflowPunct/>
        <w:topLinePunct w:val="0"/>
        <w:autoSpaceDE/>
        <w:autoSpaceDN/>
        <w:bidi w:val="0"/>
        <w:spacing w:line="560" w:lineRule="exact"/>
        <w:jc w:val="center"/>
        <w:textAlignment w:val="auto"/>
        <w:rPr>
          <w:rFonts w:hint="eastAsia" w:ascii="方正公文小标宋" w:hAnsi="方正公文小标宋" w:eastAsia="方正公文小标宋" w:cs="方正公文小标宋"/>
          <w:color w:val="000000"/>
          <w:sz w:val="44"/>
          <w:szCs w:val="44"/>
          <w:highlight w:val="none"/>
        </w:rPr>
      </w:pPr>
    </w:p>
    <w:p>
      <w:pPr>
        <w:pageBreakBefore w:val="0"/>
        <w:kinsoku/>
        <w:wordWrap/>
        <w:overflowPunct/>
        <w:topLinePunct w:val="0"/>
        <w:autoSpaceDE/>
        <w:autoSpaceDN/>
        <w:bidi w:val="0"/>
        <w:spacing w:line="560" w:lineRule="exact"/>
        <w:jc w:val="center"/>
        <w:textAlignment w:val="auto"/>
        <w:rPr>
          <w:rFonts w:hint="eastAsia" w:ascii="方正公文小标宋" w:hAnsi="方正公文小标宋" w:eastAsia="方正公文小标宋" w:cs="方正公文小标宋"/>
          <w:color w:val="000000"/>
          <w:sz w:val="44"/>
          <w:szCs w:val="44"/>
          <w:highlight w:val="none"/>
        </w:rPr>
      </w:pPr>
    </w:p>
    <w:p>
      <w:pPr>
        <w:pageBreakBefore w:val="0"/>
        <w:kinsoku/>
        <w:wordWrap/>
        <w:overflowPunct/>
        <w:topLinePunct w:val="0"/>
        <w:autoSpaceDE/>
        <w:autoSpaceDN/>
        <w:bidi w:val="0"/>
        <w:spacing w:line="560" w:lineRule="exact"/>
        <w:jc w:val="center"/>
        <w:textAlignment w:val="auto"/>
        <w:rPr>
          <w:rFonts w:hint="eastAsia" w:ascii="方正公文小标宋" w:hAnsi="方正公文小标宋" w:eastAsia="方正公文小标宋" w:cs="方正公文小标宋"/>
          <w:color w:val="000000"/>
          <w:sz w:val="44"/>
          <w:szCs w:val="44"/>
          <w:highlight w:val="none"/>
        </w:rPr>
      </w:pPr>
    </w:p>
    <w:p>
      <w:pPr>
        <w:pageBreakBefore w:val="0"/>
        <w:kinsoku/>
        <w:wordWrap/>
        <w:overflowPunct/>
        <w:topLinePunct w:val="0"/>
        <w:autoSpaceDE/>
        <w:autoSpaceDN/>
        <w:bidi w:val="0"/>
        <w:spacing w:line="560" w:lineRule="exact"/>
        <w:jc w:val="center"/>
        <w:textAlignment w:val="auto"/>
        <w:rPr>
          <w:rFonts w:hint="eastAsia" w:ascii="方正公文小标宋" w:hAnsi="方正公文小标宋" w:eastAsia="方正公文小标宋" w:cs="方正公文小标宋"/>
          <w:color w:val="000000"/>
          <w:sz w:val="44"/>
          <w:szCs w:val="44"/>
          <w:highlight w:val="none"/>
        </w:rPr>
      </w:pPr>
    </w:p>
    <w:p>
      <w:pPr>
        <w:pageBreakBefore w:val="0"/>
        <w:kinsoku/>
        <w:wordWrap/>
        <w:overflowPunct/>
        <w:topLinePunct w:val="0"/>
        <w:autoSpaceDE/>
        <w:autoSpaceDN/>
        <w:bidi w:val="0"/>
        <w:spacing w:line="560" w:lineRule="exact"/>
        <w:jc w:val="center"/>
        <w:textAlignment w:val="auto"/>
        <w:rPr>
          <w:rFonts w:hint="eastAsia" w:ascii="方正公文小标宋" w:hAnsi="方正公文小标宋" w:eastAsia="方正公文小标宋" w:cs="方正公文小标宋"/>
          <w:color w:val="000000"/>
          <w:sz w:val="44"/>
          <w:szCs w:val="44"/>
          <w:highlight w:val="none"/>
        </w:rPr>
      </w:pPr>
    </w:p>
    <w:p>
      <w:pPr>
        <w:pageBreakBefore w:val="0"/>
        <w:kinsoku/>
        <w:wordWrap/>
        <w:overflowPunct/>
        <w:topLinePunct w:val="0"/>
        <w:autoSpaceDE/>
        <w:autoSpaceDN/>
        <w:bidi w:val="0"/>
        <w:spacing w:line="560" w:lineRule="exact"/>
        <w:jc w:val="center"/>
        <w:textAlignment w:val="auto"/>
        <w:rPr>
          <w:rFonts w:hint="eastAsia" w:ascii="方正公文小标宋" w:hAnsi="方正公文小标宋" w:eastAsia="方正公文小标宋" w:cs="方正公文小标宋"/>
          <w:color w:val="000000"/>
          <w:sz w:val="44"/>
          <w:szCs w:val="44"/>
          <w:highlight w:val="none"/>
        </w:rPr>
      </w:pPr>
    </w:p>
    <w:p>
      <w:pPr>
        <w:pageBreakBefore w:val="0"/>
        <w:kinsoku/>
        <w:wordWrap/>
        <w:overflowPunct/>
        <w:topLinePunct w:val="0"/>
        <w:autoSpaceDE/>
        <w:autoSpaceDN/>
        <w:bidi w:val="0"/>
        <w:spacing w:line="560" w:lineRule="exact"/>
        <w:jc w:val="center"/>
        <w:textAlignment w:val="auto"/>
        <w:rPr>
          <w:rFonts w:hint="eastAsia" w:ascii="方正公文小标宋" w:hAnsi="方正公文小标宋" w:eastAsia="方正公文小标宋" w:cs="方正公文小标宋"/>
          <w:color w:val="000000"/>
          <w:sz w:val="44"/>
          <w:szCs w:val="44"/>
          <w:highlight w:val="none"/>
        </w:rPr>
      </w:pPr>
    </w:p>
    <w:p>
      <w:pPr>
        <w:pageBreakBefore w:val="0"/>
        <w:kinsoku/>
        <w:wordWrap/>
        <w:overflowPunct/>
        <w:topLinePunct w:val="0"/>
        <w:autoSpaceDE/>
        <w:autoSpaceDN/>
        <w:bidi w:val="0"/>
        <w:spacing w:line="560" w:lineRule="exact"/>
        <w:jc w:val="center"/>
        <w:textAlignment w:val="auto"/>
        <w:rPr>
          <w:rFonts w:hint="eastAsia" w:ascii="方正公文小标宋" w:hAnsi="方正公文小标宋" w:eastAsia="方正公文小标宋" w:cs="方正公文小标宋"/>
          <w:color w:val="000000"/>
          <w:sz w:val="44"/>
          <w:szCs w:val="44"/>
          <w:highlight w:val="none"/>
        </w:rPr>
      </w:pPr>
    </w:p>
    <w:p>
      <w:pPr>
        <w:pageBreakBefore w:val="0"/>
        <w:kinsoku/>
        <w:wordWrap/>
        <w:overflowPunct/>
        <w:topLinePunct w:val="0"/>
        <w:autoSpaceDE/>
        <w:autoSpaceDN/>
        <w:bidi w:val="0"/>
        <w:spacing w:line="560" w:lineRule="exact"/>
        <w:jc w:val="center"/>
        <w:textAlignment w:val="auto"/>
        <w:rPr>
          <w:rFonts w:hint="eastAsia" w:ascii="方正公文小标宋" w:hAnsi="方正公文小标宋" w:eastAsia="方正公文小标宋" w:cs="方正公文小标宋"/>
          <w:color w:val="000000"/>
          <w:sz w:val="44"/>
          <w:szCs w:val="44"/>
          <w:highlight w:val="none"/>
        </w:rPr>
      </w:pP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cs="黑体"/>
          <w:color w:val="000000"/>
          <w:spacing w:val="-17"/>
          <w:sz w:val="32"/>
          <w:szCs w:val="32"/>
          <w:highlight w:val="none"/>
          <w:lang w:val="en-US" w:eastAsia="zh-CN"/>
        </w:rPr>
      </w:pPr>
      <w:r>
        <w:rPr>
          <w:rFonts w:hint="eastAsia" w:ascii="黑体" w:hAnsi="黑体" w:eastAsia="黑体" w:cs="黑体"/>
          <w:color w:val="000000"/>
          <w:spacing w:val="-17"/>
          <w:sz w:val="32"/>
          <w:szCs w:val="32"/>
          <w:highlight w:val="none"/>
          <w:lang w:val="en-US" w:eastAsia="zh-CN"/>
        </w:rPr>
        <w:t>附件3</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公文小标宋" w:hAnsi="方正公文小标宋" w:eastAsia="方正公文小标宋" w:cs="方正公文小标宋"/>
          <w:color w:val="000000"/>
          <w:spacing w:val="-17"/>
          <w:sz w:val="44"/>
          <w:szCs w:val="44"/>
          <w:highlight w:val="none"/>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color w:val="000000"/>
          <w:spacing w:val="-17"/>
          <w:sz w:val="44"/>
          <w:szCs w:val="44"/>
          <w:highlight w:val="none"/>
        </w:rPr>
      </w:pPr>
      <w:r>
        <w:rPr>
          <w:rFonts w:hint="eastAsia" w:ascii="方正小标宋简体" w:hAnsi="方正小标宋简体" w:eastAsia="方正小标宋简体" w:cs="方正小标宋简体"/>
          <w:b w:val="0"/>
          <w:bCs w:val="0"/>
          <w:color w:val="000000"/>
          <w:spacing w:val="-17"/>
          <w:sz w:val="44"/>
          <w:szCs w:val="44"/>
          <w:highlight w:val="none"/>
        </w:rPr>
        <w:t>内蒙古艺术学院</w:t>
      </w:r>
      <w:r>
        <w:rPr>
          <w:rFonts w:hint="eastAsia" w:ascii="方正小标宋简体" w:hAnsi="方正小标宋简体" w:eastAsia="方正小标宋简体" w:cs="方正小标宋简体"/>
          <w:b w:val="0"/>
          <w:bCs w:val="0"/>
          <w:color w:val="000000"/>
          <w:spacing w:val="-17"/>
          <w:sz w:val="44"/>
          <w:szCs w:val="44"/>
          <w:highlight w:val="none"/>
          <w:lang w:eastAsia="zh-Hans"/>
        </w:rPr>
        <w:t>职称评审赋分办法及认定标准</w:t>
      </w:r>
    </w:p>
    <w:p>
      <w:pPr>
        <w:pageBreakBefore w:val="0"/>
        <w:kinsoku/>
        <w:wordWrap/>
        <w:overflowPunct/>
        <w:topLinePunct w:val="0"/>
        <w:autoSpaceDE/>
        <w:autoSpaceDN/>
        <w:bidi w:val="0"/>
        <w:spacing w:line="560" w:lineRule="exact"/>
        <w:jc w:val="center"/>
        <w:textAlignment w:val="auto"/>
        <w:rPr>
          <w:rFonts w:ascii="方正公文小标宋" w:hAnsi="方正公文小标宋" w:eastAsia="方正公文小标宋" w:cs="方正公文小标宋"/>
          <w:color w:val="000000"/>
          <w:sz w:val="44"/>
          <w:szCs w:val="44"/>
          <w:highlight w:val="none"/>
        </w:rPr>
      </w:pPr>
    </w:p>
    <w:p>
      <w:pPr>
        <w:pageBreakBefore w:val="0"/>
        <w:kinsoku/>
        <w:wordWrap/>
        <w:overflowPunct/>
        <w:topLinePunct w:val="0"/>
        <w:autoSpaceDE/>
        <w:autoSpaceDN/>
        <w:bidi w:val="0"/>
        <w:spacing w:line="560" w:lineRule="exact"/>
        <w:ind w:firstLine="640" w:firstLineChars="200"/>
        <w:textAlignment w:val="auto"/>
        <w:rPr>
          <w:rFonts w:ascii="方正公文小标宋" w:hAnsi="方正公文小标宋" w:eastAsia="仿宋_GB2312" w:cs="方正公文小标宋"/>
          <w:color w:val="000000"/>
          <w:sz w:val="44"/>
          <w:szCs w:val="44"/>
          <w:highlight w:val="none"/>
        </w:rPr>
      </w:pPr>
      <w:r>
        <w:rPr>
          <w:rFonts w:hint="eastAsia" w:ascii="仿宋_GB2312" w:hAnsi="仿宋_GB2312" w:eastAsia="仿宋_GB2312" w:cs="仿宋_GB2312"/>
          <w:sz w:val="32"/>
          <w:szCs w:val="32"/>
          <w:highlight w:val="none"/>
        </w:rPr>
        <w:t>为了科学地评价我校专业技术人员的业绩，为我校职称评审推荐提供客观、公正的依据，根据《中共中央国务院关于全面深化新时代教师队伍建设改革的意见》（中发〔2018〕4 号）、《内蒙古自治区关于深化高等学校教师职称制度改革的实施意见》（内人社发〔2021〕38号）等国家及自治区深化高等学校职称改革的文件精神要求，结合我校实际，制定本高级</w:t>
      </w:r>
      <w:r>
        <w:rPr>
          <w:rFonts w:hint="eastAsia" w:ascii="仿宋_GB2312" w:hAnsi="仿宋_GB2312" w:eastAsia="仿宋_GB2312" w:cs="仿宋_GB2312"/>
          <w:sz w:val="32"/>
          <w:szCs w:val="32"/>
          <w:highlight w:val="none"/>
          <w:lang w:eastAsia="zh-Hans"/>
        </w:rPr>
        <w:t>职称评审赋分</w:t>
      </w:r>
      <w:r>
        <w:rPr>
          <w:rFonts w:hint="eastAsia" w:ascii="仿宋_GB2312" w:hAnsi="仿宋_GB2312" w:eastAsia="仿宋_GB2312" w:cs="仿宋_GB2312"/>
          <w:sz w:val="32"/>
          <w:szCs w:val="32"/>
          <w:highlight w:val="none"/>
        </w:rPr>
        <w:t>办法。</w:t>
      </w:r>
    </w:p>
    <w:p>
      <w:pPr>
        <w:pageBreakBefore w:val="0"/>
        <w:kinsoku/>
        <w:wordWrap/>
        <w:overflowPunct/>
        <w:topLinePunct w:val="0"/>
        <w:autoSpaceDE/>
        <w:autoSpaceDN/>
        <w:bidi w:val="0"/>
        <w:spacing w:line="560" w:lineRule="exact"/>
        <w:ind w:left="560"/>
        <w:textAlignment w:val="auto"/>
        <w:rPr>
          <w:rFonts w:ascii="黑体" w:hAnsi="黑体" w:eastAsia="黑体" w:cs="黑体"/>
          <w:sz w:val="32"/>
          <w:szCs w:val="32"/>
          <w:highlight w:val="none"/>
        </w:rPr>
      </w:pPr>
      <w:r>
        <w:rPr>
          <w:rFonts w:hint="eastAsia" w:ascii="黑体" w:hAnsi="黑体" w:eastAsia="黑体" w:cs="黑体"/>
          <w:sz w:val="32"/>
          <w:szCs w:val="32"/>
          <w:highlight w:val="none"/>
        </w:rPr>
        <w:t>一、教师岗位量化赋分办法</w:t>
      </w:r>
    </w:p>
    <w:p>
      <w:pPr>
        <w:pageBreakBefore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量化赋分总分=教学工作分+专业成果分</w:t>
      </w:r>
    </w:p>
    <w:p>
      <w:pPr>
        <w:pageBreakBefore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各单位专家评审委员会对申报教师系列专业技术职务人员的教学工作赋分，教务处</w:t>
      </w:r>
      <w:r>
        <w:rPr>
          <w:rFonts w:hint="eastAsia" w:ascii="仿宋_GB2312" w:hAnsi="仿宋_GB2312" w:eastAsia="仿宋_GB2312" w:cs="仿宋_GB2312"/>
          <w:sz w:val="32"/>
          <w:szCs w:val="32"/>
          <w:highlight w:val="none"/>
          <w:lang w:val="en-US" w:eastAsia="zh-CN"/>
        </w:rPr>
        <w:t>和</w:t>
      </w:r>
      <w:r>
        <w:rPr>
          <w:rFonts w:hint="eastAsia" w:ascii="仿宋_GB2312" w:hAnsi="仿宋_GB2312" w:eastAsia="仿宋_GB2312" w:cs="仿宋_GB2312"/>
          <w:sz w:val="32"/>
          <w:szCs w:val="32"/>
          <w:highlight w:val="none"/>
        </w:rPr>
        <w:t>科研处对专业成果进行赋分。</w:t>
      </w:r>
    </w:p>
    <w:p>
      <w:pPr>
        <w:pageBreakBefore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（一）教学工作</w:t>
      </w:r>
      <w:r>
        <w:rPr>
          <w:rFonts w:hint="eastAsia" w:ascii="仿宋_GB2312" w:hAnsi="仿宋_GB2312" w:eastAsia="仿宋_GB2312" w:cs="仿宋_GB2312"/>
          <w:sz w:val="32"/>
          <w:szCs w:val="32"/>
          <w:highlight w:val="none"/>
          <w:lang w:eastAsia="zh-Hans"/>
        </w:rPr>
        <w:t>赋</w:t>
      </w:r>
      <w:r>
        <w:rPr>
          <w:rFonts w:hint="eastAsia" w:ascii="仿宋_GB2312" w:hAnsi="仿宋_GB2312" w:eastAsia="仿宋_GB2312" w:cs="仿宋_GB2312"/>
          <w:sz w:val="32"/>
          <w:szCs w:val="32"/>
          <w:highlight w:val="none"/>
        </w:rPr>
        <w:t>分：</w:t>
      </w:r>
      <w:r>
        <w:rPr>
          <w:rFonts w:hint="eastAsia" w:ascii="仿宋_GB2312" w:hAnsi="仿宋_GB2312" w:eastAsia="仿宋_GB2312" w:cs="仿宋_GB2312"/>
          <w:sz w:val="32"/>
          <w:szCs w:val="32"/>
          <w:highlight w:val="none"/>
          <w:lang w:eastAsia="zh-Hans"/>
        </w:rPr>
        <w:t>申报人在本单位进行说课</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满分</w:t>
      </w:r>
      <w:r>
        <w:rPr>
          <w:rFonts w:ascii="仿宋_GB2312" w:hAnsi="仿宋_GB2312" w:eastAsia="仿宋_GB2312" w:cs="仿宋_GB2312"/>
          <w:sz w:val="32"/>
          <w:szCs w:val="32"/>
          <w:highlight w:val="none"/>
          <w:lang w:eastAsia="zh-Hans"/>
        </w:rPr>
        <w:t>10</w:t>
      </w:r>
      <w:r>
        <w:rPr>
          <w:rFonts w:hint="eastAsia" w:ascii="仿宋_GB2312" w:hAnsi="仿宋_GB2312" w:eastAsia="仿宋_GB2312" w:cs="仿宋_GB2312"/>
          <w:sz w:val="32"/>
          <w:szCs w:val="32"/>
          <w:highlight w:val="none"/>
          <w:lang w:eastAsia="zh-Hans"/>
        </w:rPr>
        <w:t>分</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其他</w:t>
      </w:r>
      <w:r>
        <w:rPr>
          <w:rFonts w:hint="eastAsia" w:ascii="仿宋_GB2312" w:hAnsi="仿宋_GB2312" w:eastAsia="仿宋_GB2312" w:cs="仿宋_GB2312"/>
          <w:sz w:val="32"/>
          <w:szCs w:val="32"/>
          <w:highlight w:val="none"/>
        </w:rPr>
        <w:t>赋分项目须为《专业技术职务评审教学工作和专业成果赋分项目》范围内的赋分项目，不在范围内的赋分项目不予赋分。赋分级别和分值详见教学工作分值</w:t>
      </w:r>
      <w:r>
        <w:rPr>
          <w:rFonts w:hint="eastAsia" w:ascii="仿宋_GB2312" w:hAnsi="仿宋_GB2312" w:eastAsia="仿宋_GB2312" w:cs="仿宋_GB2312"/>
          <w:sz w:val="32"/>
          <w:szCs w:val="32"/>
          <w:highlight w:val="none"/>
          <w:lang w:eastAsia="zh-Hans"/>
        </w:rPr>
        <w:t>表</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附件</w:t>
      </w:r>
      <w:r>
        <w:rPr>
          <w:rFonts w:ascii="仿宋_GB2312" w:hAnsi="仿宋_GB2312" w:eastAsia="仿宋_GB2312" w:cs="仿宋_GB2312"/>
          <w:sz w:val="32"/>
          <w:szCs w:val="32"/>
          <w:highlight w:val="none"/>
          <w:lang w:eastAsia="zh-Hans"/>
        </w:rPr>
        <w:t>6）</w:t>
      </w:r>
      <w:r>
        <w:rPr>
          <w:rFonts w:hint="eastAsia" w:ascii="仿宋_GB2312" w:hAnsi="仿宋_GB2312" w:eastAsia="仿宋_GB2312" w:cs="仿宋_GB2312"/>
          <w:sz w:val="32"/>
          <w:szCs w:val="32"/>
          <w:highlight w:val="none"/>
        </w:rPr>
        <w:t>。</w:t>
      </w:r>
    </w:p>
    <w:p>
      <w:pPr>
        <w:pageBreakBefore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highlight w:val="none"/>
          <w:lang w:eastAsia="zh-Hans"/>
        </w:rPr>
      </w:pPr>
      <w:r>
        <w:rPr>
          <w:rFonts w:hint="eastAsia" w:ascii="仿宋_GB2312" w:hAnsi="仿宋_GB2312" w:eastAsia="仿宋_GB2312" w:cs="仿宋_GB2312"/>
          <w:sz w:val="32"/>
          <w:szCs w:val="32"/>
          <w:highlight w:val="none"/>
        </w:rPr>
        <w:t>（二）专业成果</w:t>
      </w:r>
      <w:r>
        <w:rPr>
          <w:rFonts w:hint="eastAsia" w:ascii="仿宋_GB2312" w:hAnsi="仿宋_GB2312" w:eastAsia="仿宋_GB2312" w:cs="仿宋_GB2312"/>
          <w:sz w:val="32"/>
          <w:szCs w:val="32"/>
          <w:highlight w:val="none"/>
          <w:lang w:eastAsia="zh-Hans"/>
        </w:rPr>
        <w:t>赋</w:t>
      </w:r>
      <w:r>
        <w:rPr>
          <w:rFonts w:hint="eastAsia" w:ascii="仿宋_GB2312" w:hAnsi="仿宋_GB2312" w:eastAsia="仿宋_GB2312" w:cs="仿宋_GB2312"/>
          <w:sz w:val="32"/>
          <w:szCs w:val="32"/>
          <w:highlight w:val="none"/>
        </w:rPr>
        <w:t>分：每位申报人限提交</w:t>
      </w:r>
      <w:r>
        <w:rPr>
          <w:rFonts w:hint="eastAsia" w:ascii="仿宋_GB2312" w:hAnsi="仿宋_GB2312" w:eastAsia="仿宋_GB2312" w:cs="仿宋_GB2312"/>
          <w:sz w:val="32"/>
          <w:szCs w:val="32"/>
          <w:highlight w:val="none"/>
          <w:lang w:val="en-US" w:eastAsia="zh-CN"/>
        </w:rPr>
        <w:t>6</w:t>
      </w:r>
      <w:r>
        <w:rPr>
          <w:rFonts w:hint="eastAsia" w:ascii="仿宋_GB2312" w:hAnsi="仿宋_GB2312" w:eastAsia="仿宋_GB2312" w:cs="仿宋_GB2312"/>
          <w:sz w:val="32"/>
          <w:szCs w:val="32"/>
          <w:highlight w:val="none"/>
        </w:rPr>
        <w:t>件专业成果，6件专业成果的总分作为专业成果分，6件成果中应含一项</w:t>
      </w:r>
      <w:r>
        <w:rPr>
          <w:rFonts w:hint="eastAsia" w:ascii="仿宋_GB2312" w:hAnsi="仿宋_GB2312" w:eastAsia="仿宋_GB2312" w:cs="仿宋_GB2312"/>
          <w:sz w:val="32"/>
          <w:szCs w:val="32"/>
          <w:highlight w:val="none"/>
          <w:lang w:val="en-US" w:eastAsia="zh-CN"/>
        </w:rPr>
        <w:t>期刊</w:t>
      </w:r>
      <w:r>
        <w:rPr>
          <w:rFonts w:hint="eastAsia" w:ascii="仿宋_GB2312" w:hAnsi="仿宋_GB2312" w:eastAsia="仿宋_GB2312" w:cs="仿宋_GB2312"/>
          <w:sz w:val="32"/>
          <w:szCs w:val="32"/>
          <w:highlight w:val="none"/>
        </w:rPr>
        <w:t>论文成果，艺术实践与创作类成果不超过2件。赋分级别和分值详见专业成果分级和分值</w:t>
      </w:r>
      <w:r>
        <w:rPr>
          <w:rFonts w:hint="eastAsia" w:ascii="仿宋_GB2312" w:hAnsi="仿宋_GB2312" w:eastAsia="仿宋_GB2312" w:cs="仿宋_GB2312"/>
          <w:sz w:val="32"/>
          <w:szCs w:val="32"/>
          <w:highlight w:val="none"/>
          <w:lang w:eastAsia="zh-Hans"/>
        </w:rPr>
        <w:t>表</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附件</w:t>
      </w:r>
      <w:r>
        <w:rPr>
          <w:rFonts w:ascii="仿宋_GB2312" w:hAnsi="仿宋_GB2312" w:eastAsia="仿宋_GB2312" w:cs="仿宋_GB2312"/>
          <w:sz w:val="32"/>
          <w:szCs w:val="32"/>
          <w:highlight w:val="none"/>
          <w:lang w:eastAsia="zh-Hans"/>
        </w:rPr>
        <w:t>6）。</w:t>
      </w:r>
    </w:p>
    <w:p>
      <w:pPr>
        <w:pageBreakBefore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highlight w:val="none"/>
          <w:lang w:eastAsia="zh-Hans"/>
        </w:rPr>
      </w:pPr>
      <w:r>
        <w:rPr>
          <w:rFonts w:hint="eastAsia" w:ascii="仿宋_GB2312" w:hAnsi="仿宋_GB2312" w:eastAsia="仿宋_GB2312" w:cs="仿宋_GB2312"/>
          <w:sz w:val="32"/>
          <w:szCs w:val="32"/>
          <w:highlight w:val="none"/>
          <w:lang w:eastAsia="zh-Hans"/>
        </w:rPr>
        <w:t>（三）申报人职称评审总分包含量化赋分和学校评审委员会打分</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其中量化赋分占</w:t>
      </w:r>
      <w:r>
        <w:rPr>
          <w:rFonts w:ascii="仿宋_GB2312" w:hAnsi="仿宋_GB2312" w:eastAsia="仿宋_GB2312" w:cs="仿宋_GB2312"/>
          <w:sz w:val="32"/>
          <w:szCs w:val="32"/>
          <w:highlight w:val="none"/>
          <w:lang w:eastAsia="zh-Hans"/>
        </w:rPr>
        <w:t>50%，</w:t>
      </w:r>
      <w:r>
        <w:rPr>
          <w:rFonts w:hint="eastAsia" w:ascii="仿宋_GB2312" w:hAnsi="仿宋_GB2312" w:eastAsia="仿宋_GB2312" w:cs="仿宋_GB2312"/>
          <w:sz w:val="32"/>
          <w:szCs w:val="32"/>
          <w:highlight w:val="none"/>
          <w:lang w:eastAsia="zh-Hans"/>
        </w:rPr>
        <w:t>学校评审委员会打分占50%</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材料占</w:t>
      </w:r>
      <w:r>
        <w:rPr>
          <w:rFonts w:ascii="仿宋_GB2312" w:hAnsi="仿宋_GB2312" w:eastAsia="仿宋_GB2312" w:cs="仿宋_GB2312"/>
          <w:sz w:val="32"/>
          <w:szCs w:val="32"/>
          <w:highlight w:val="none"/>
          <w:lang w:eastAsia="zh-Hans"/>
        </w:rPr>
        <w:t>70%、</w:t>
      </w:r>
      <w:r>
        <w:rPr>
          <w:rFonts w:hint="eastAsia" w:ascii="仿宋_GB2312" w:hAnsi="仿宋_GB2312" w:eastAsia="仿宋_GB2312" w:cs="仿宋_GB2312"/>
          <w:sz w:val="32"/>
          <w:szCs w:val="32"/>
          <w:highlight w:val="none"/>
          <w:lang w:eastAsia="zh-Hans"/>
        </w:rPr>
        <w:t>答辩占</w:t>
      </w:r>
      <w:r>
        <w:rPr>
          <w:rFonts w:ascii="仿宋_GB2312" w:hAnsi="仿宋_GB2312" w:eastAsia="仿宋_GB2312" w:cs="仿宋_GB2312"/>
          <w:sz w:val="32"/>
          <w:szCs w:val="32"/>
          <w:highlight w:val="none"/>
          <w:lang w:eastAsia="zh-Hans"/>
        </w:rPr>
        <w:t>30%）</w:t>
      </w:r>
      <w:r>
        <w:rPr>
          <w:rFonts w:hint="eastAsia" w:ascii="仿宋_GB2312" w:hAnsi="仿宋_GB2312" w:eastAsia="仿宋_GB2312" w:cs="仿宋_GB2312"/>
          <w:sz w:val="32"/>
          <w:szCs w:val="32"/>
          <w:highlight w:val="none"/>
          <w:lang w:eastAsia="zh-Hans"/>
        </w:rPr>
        <w:t>。</w:t>
      </w:r>
    </w:p>
    <w:p>
      <w:pPr>
        <w:pageBreakBefore w:val="0"/>
        <w:kinsoku/>
        <w:wordWrap/>
        <w:overflowPunct/>
        <w:topLinePunct w:val="0"/>
        <w:autoSpaceDE/>
        <w:autoSpaceDN/>
        <w:bidi w:val="0"/>
        <w:spacing w:line="560" w:lineRule="exact"/>
        <w:ind w:left="560"/>
        <w:textAlignment w:val="auto"/>
        <w:rPr>
          <w:rFonts w:ascii="黑体" w:hAnsi="黑体" w:eastAsia="黑体" w:cs="黑体"/>
          <w:sz w:val="32"/>
          <w:szCs w:val="32"/>
          <w:highlight w:val="none"/>
        </w:rPr>
      </w:pPr>
      <w:r>
        <w:rPr>
          <w:rFonts w:hint="eastAsia" w:ascii="黑体" w:hAnsi="黑体" w:eastAsia="黑体" w:cs="黑体"/>
          <w:sz w:val="32"/>
          <w:szCs w:val="32"/>
          <w:highlight w:val="none"/>
        </w:rPr>
        <w:t>二、思政系列岗位量化赋分办法</w:t>
      </w:r>
    </w:p>
    <w:p>
      <w:pPr>
        <w:pageBreakBefore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量化赋分总分=工作水平分+专业成果分</w:t>
      </w:r>
    </w:p>
    <w:p>
      <w:pPr>
        <w:pageBreakBefore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（一）工作水平赋分</w:t>
      </w:r>
      <w:r>
        <w:rPr>
          <w:rFonts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rPr>
        <w:t>申报人在学校成立的思政系列</w:t>
      </w:r>
      <w:r>
        <w:rPr>
          <w:rFonts w:hint="eastAsia" w:ascii="仿宋_GB2312" w:hAnsi="仿宋_GB2312" w:eastAsia="仿宋_GB2312" w:cs="仿宋_GB2312"/>
          <w:sz w:val="32"/>
          <w:szCs w:val="32"/>
          <w:highlight w:val="none"/>
          <w:lang w:eastAsia="zh-Hans"/>
        </w:rPr>
        <w:t>职称</w:t>
      </w:r>
      <w:r>
        <w:rPr>
          <w:rFonts w:hint="eastAsia" w:ascii="仿宋_GB2312" w:hAnsi="仿宋_GB2312" w:eastAsia="仿宋_GB2312" w:cs="仿宋_GB2312"/>
          <w:sz w:val="32"/>
          <w:szCs w:val="32"/>
          <w:highlight w:val="none"/>
        </w:rPr>
        <w:t>评审委员会进行</w:t>
      </w:r>
      <w:r>
        <w:rPr>
          <w:rFonts w:hint="eastAsia" w:ascii="仿宋_GB2312" w:hAnsi="仿宋_GB2312" w:eastAsia="仿宋_GB2312" w:cs="仿宋_GB2312"/>
          <w:sz w:val="32"/>
          <w:szCs w:val="32"/>
          <w:highlight w:val="none"/>
          <w:lang w:eastAsia="zh-Hans"/>
        </w:rPr>
        <w:t>评审</w:t>
      </w:r>
      <w:r>
        <w:rPr>
          <w:rFonts w:hint="eastAsia" w:ascii="仿宋_GB2312" w:hAnsi="仿宋_GB2312" w:eastAsia="仿宋_GB2312" w:cs="仿宋_GB2312"/>
          <w:sz w:val="32"/>
          <w:szCs w:val="32"/>
          <w:highlight w:val="none"/>
        </w:rPr>
        <w:t>，其中</w:t>
      </w:r>
      <w:r>
        <w:rPr>
          <w:rFonts w:hint="eastAsia" w:ascii="仿宋_GB2312" w:hAnsi="仿宋_GB2312" w:eastAsia="仿宋_GB2312" w:cs="仿宋_GB2312"/>
          <w:sz w:val="32"/>
          <w:szCs w:val="32"/>
          <w:highlight w:val="none"/>
          <w:lang w:eastAsia="zh-Hans"/>
        </w:rPr>
        <w:t>工作述职</w:t>
      </w:r>
      <w:r>
        <w:rPr>
          <w:rFonts w:hint="eastAsia" w:ascii="仿宋_GB2312" w:hAnsi="仿宋_GB2312" w:eastAsia="仿宋_GB2312" w:cs="仿宋_GB2312"/>
          <w:sz w:val="32"/>
          <w:szCs w:val="32"/>
          <w:highlight w:val="none"/>
        </w:rPr>
        <w:t>满分10分，专家评审委员会专家对申报人履职情况进行</w:t>
      </w:r>
      <w:r>
        <w:rPr>
          <w:rFonts w:hint="eastAsia" w:ascii="仿宋_GB2312" w:hAnsi="仿宋_GB2312" w:eastAsia="仿宋_GB2312" w:cs="仿宋_GB2312"/>
          <w:sz w:val="32"/>
          <w:szCs w:val="32"/>
          <w:highlight w:val="none"/>
          <w:lang w:eastAsia="zh-Hans"/>
        </w:rPr>
        <w:t>打</w:t>
      </w:r>
      <w:r>
        <w:rPr>
          <w:rFonts w:hint="eastAsia" w:ascii="仿宋_GB2312" w:hAnsi="仿宋_GB2312" w:eastAsia="仿宋_GB2312" w:cs="仿宋_GB2312"/>
          <w:sz w:val="32"/>
          <w:szCs w:val="32"/>
          <w:highlight w:val="none"/>
        </w:rPr>
        <w:t>分，满分为40分。</w:t>
      </w:r>
    </w:p>
    <w:p>
      <w:pPr>
        <w:pageBreakBefore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（二）专业成果赋分</w:t>
      </w:r>
    </w:p>
    <w:p>
      <w:pPr>
        <w:pageBreakBefore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参照教师系列赋分办法进行赋分，其中获奖包括表彰荣誉（国家级12分，自治区级8分，校级4分）</w:t>
      </w:r>
      <w:r>
        <w:rPr>
          <w:rFonts w:ascii="仿宋_GB2312" w:hAnsi="仿宋_GB2312" w:eastAsia="仿宋_GB2312" w:cs="仿宋_GB2312"/>
          <w:sz w:val="32"/>
          <w:szCs w:val="32"/>
          <w:highlight w:val="none"/>
        </w:rPr>
        <w:t>。</w:t>
      </w:r>
    </w:p>
    <w:p>
      <w:pPr>
        <w:pageBreakBefore w:val="0"/>
        <w:kinsoku/>
        <w:wordWrap/>
        <w:overflowPunct/>
        <w:topLinePunct w:val="0"/>
        <w:autoSpaceDE/>
        <w:autoSpaceDN/>
        <w:bidi w:val="0"/>
        <w:spacing w:line="560" w:lineRule="exact"/>
        <w:ind w:firstLine="640" w:firstLineChars="200"/>
        <w:textAlignment w:val="auto"/>
        <w:rPr>
          <w:rFonts w:ascii="黑体" w:hAnsi="黑体" w:eastAsia="黑体" w:cs="黑体"/>
          <w:sz w:val="32"/>
          <w:szCs w:val="32"/>
          <w:highlight w:val="none"/>
        </w:rPr>
      </w:pPr>
      <w:r>
        <w:rPr>
          <w:rFonts w:hint="eastAsia" w:ascii="黑体" w:hAnsi="黑体" w:eastAsia="黑体" w:cs="黑体"/>
          <w:sz w:val="32"/>
          <w:szCs w:val="32"/>
          <w:highlight w:val="none"/>
        </w:rPr>
        <w:t>三、教学工作赋分</w:t>
      </w:r>
    </w:p>
    <w:p>
      <w:pPr>
        <w:pageBreakBefore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（一）说课：说课的形式、内容、时长等由各部门自行确定。说课实行10分制，去掉最高和最低分取平均分，最后所得平均分数为说课最后赋分分数。</w:t>
      </w:r>
    </w:p>
    <w:p>
      <w:pPr>
        <w:pageBreakBefore w:val="0"/>
        <w:kinsoku/>
        <w:wordWrap/>
        <w:overflowPunct/>
        <w:topLinePunct w:val="0"/>
        <w:autoSpaceDE/>
        <w:autoSpaceDN/>
        <w:bidi w:val="0"/>
        <w:spacing w:line="560" w:lineRule="exact"/>
        <w:ind w:firstLine="640" w:firstLineChars="20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（二）工作量：</w:t>
      </w:r>
      <w:r>
        <w:rPr>
          <w:rFonts w:hint="eastAsia" w:ascii="仿宋_GB2312" w:hAnsi="仿宋_GB2312" w:eastAsia="仿宋_GB2312" w:cs="仿宋_GB2312"/>
          <w:sz w:val="32"/>
          <w:szCs w:val="32"/>
          <w:highlight w:val="none"/>
          <w:lang w:val="en-US" w:eastAsia="zh-CN"/>
        </w:rPr>
        <w:t>完成额定工作量赋分2分，额定工作量按照《内蒙古艺术学院绩效工资实施办法》相关规定执行。</w:t>
      </w:r>
      <w:r>
        <w:rPr>
          <w:rFonts w:hint="eastAsia" w:ascii="仿宋_GB2312" w:hAnsi="仿宋_GB2312" w:eastAsia="仿宋_GB2312" w:cs="仿宋_GB2312"/>
          <w:sz w:val="32"/>
          <w:szCs w:val="32"/>
          <w:highlight w:val="none"/>
        </w:rPr>
        <w:t>工作量包括研究生、本科生、中专生课时量。计算方法为每年所有类型的课时总量相加为当年课时总量，取5年课时总量的平均值，不够5年以实际在岗年限为准。</w:t>
      </w:r>
    </w:p>
    <w:p>
      <w:pPr>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（三）班主任：班主任（辅导员）的工作证明由各二级学院党总支书记签字并加盖公章，2019年9月以后担任班主任（辅导员）的工作证明要加盖校学生工作部的公章。</w:t>
      </w:r>
    </w:p>
    <w:p>
      <w:pPr>
        <w:pageBreakBefore w:val="0"/>
        <w:kinsoku/>
        <w:wordWrap/>
        <w:overflowPunct/>
        <w:topLinePunct w:val="0"/>
        <w:autoSpaceDE/>
        <w:autoSpaceDN/>
        <w:bidi w:val="0"/>
        <w:spacing w:line="560" w:lineRule="exact"/>
        <w:ind w:firstLine="640" w:firstLineChars="20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四</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教学工作实践：按照《内蒙古艺术学院推行“22352”育人模式培养造就高素质艺术人才实施方案》要求，积极参与学校“22352”育人模式改革，承担专业实习、毕业实习、社会实践、艺术创作与采风、第二课堂及其他形式的艺术实践活动等艺术实践教学指导工作，坚持艺术实践与专业教学有机结合。</w:t>
      </w:r>
    </w:p>
    <w:p>
      <w:pPr>
        <w:pageBreakBefore w:val="0"/>
        <w:kinsoku/>
        <w:wordWrap/>
        <w:overflowPunct/>
        <w:topLinePunct w:val="0"/>
        <w:autoSpaceDE/>
        <w:autoSpaceDN/>
        <w:bidi w:val="0"/>
        <w:adjustRightInd w:val="0"/>
        <w:snapToGrid w:val="0"/>
        <w:spacing w:line="560" w:lineRule="exact"/>
        <w:jc w:val="center"/>
        <w:textAlignment w:val="auto"/>
        <w:rPr>
          <w:rFonts w:hint="eastAsia" w:ascii="仿宋_GB2312" w:hAnsi="仿宋_GB2312" w:eastAsia="仿宋_GB2312" w:cs="仿宋_GB2312"/>
          <w:b/>
          <w:bCs/>
          <w:sz w:val="32"/>
          <w:szCs w:val="32"/>
          <w:highlight w:val="none"/>
        </w:rPr>
      </w:pPr>
    </w:p>
    <w:p>
      <w:pPr>
        <w:pageBreakBefore w:val="0"/>
        <w:kinsoku/>
        <w:wordWrap/>
        <w:overflowPunct/>
        <w:topLinePunct w:val="0"/>
        <w:autoSpaceDE/>
        <w:autoSpaceDN/>
        <w:bidi w:val="0"/>
        <w:adjustRightInd w:val="0"/>
        <w:snapToGrid w:val="0"/>
        <w:spacing w:line="560" w:lineRule="exact"/>
        <w:jc w:val="center"/>
        <w:textAlignment w:val="auto"/>
        <w:rPr>
          <w:vanish/>
          <w:highlight w:val="none"/>
        </w:rPr>
      </w:pPr>
      <w:r>
        <w:rPr>
          <w:rFonts w:hint="eastAsia" w:ascii="仿宋_GB2312" w:hAnsi="仿宋_GB2312" w:eastAsia="仿宋_GB2312" w:cs="仿宋_GB2312"/>
          <w:b/>
          <w:bCs/>
          <w:sz w:val="32"/>
          <w:szCs w:val="32"/>
          <w:highlight w:val="none"/>
        </w:rPr>
        <w:t>教学工作赋分项目</w:t>
      </w:r>
    </w:p>
    <w:tbl>
      <w:tblPr>
        <w:tblStyle w:val="4"/>
        <w:tblW w:w="92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9"/>
        <w:gridCol w:w="561"/>
        <w:gridCol w:w="1754"/>
        <w:gridCol w:w="1618"/>
        <w:gridCol w:w="105"/>
        <w:gridCol w:w="1493"/>
        <w:gridCol w:w="89"/>
        <w:gridCol w:w="33"/>
        <w:gridCol w:w="1491"/>
        <w:gridCol w:w="55"/>
        <w:gridCol w:w="1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trPr>
        <w:tc>
          <w:tcPr>
            <w:tcW w:w="529" w:type="dxa"/>
            <w:noWrap w:val="0"/>
            <w:vAlign w:val="center"/>
          </w:tcPr>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条件</w:t>
            </w:r>
          </w:p>
        </w:tc>
        <w:tc>
          <w:tcPr>
            <w:tcW w:w="561" w:type="dxa"/>
            <w:noWrap w:val="0"/>
            <w:vAlign w:val="center"/>
          </w:tcPr>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序号</w:t>
            </w:r>
          </w:p>
        </w:tc>
        <w:tc>
          <w:tcPr>
            <w:tcW w:w="1754" w:type="dxa"/>
            <w:noWrap w:val="0"/>
            <w:vAlign w:val="center"/>
          </w:tcPr>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项目</w:t>
            </w:r>
          </w:p>
        </w:tc>
        <w:tc>
          <w:tcPr>
            <w:tcW w:w="6434" w:type="dxa"/>
            <w:gridSpan w:val="8"/>
            <w:noWrap w:val="0"/>
            <w:vAlign w:val="center"/>
          </w:tcPr>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529" w:type="dxa"/>
            <w:vMerge w:val="restart"/>
            <w:noWrap w:val="0"/>
            <w:vAlign w:val="center"/>
          </w:tcPr>
          <w:p>
            <w:pPr>
              <w:pageBreakBefore w:val="0"/>
              <w:kinsoku/>
              <w:wordWrap/>
              <w:overflowPunct/>
              <w:topLinePunct w:val="0"/>
              <w:autoSpaceDE/>
              <w:autoSpaceDN/>
              <w:bidi w:val="0"/>
              <w:spacing w:line="560" w:lineRule="exact"/>
              <w:jc w:val="center"/>
              <w:textAlignment w:val="auto"/>
              <w:rPr>
                <w:highlight w:val="none"/>
              </w:rPr>
            </w:pPr>
          </w:p>
          <w:p>
            <w:pPr>
              <w:pageBreakBefore w:val="0"/>
              <w:kinsoku/>
              <w:wordWrap/>
              <w:overflowPunct/>
              <w:topLinePunct w:val="0"/>
              <w:autoSpaceDE/>
              <w:autoSpaceDN/>
              <w:bidi w:val="0"/>
              <w:spacing w:line="560" w:lineRule="exact"/>
              <w:jc w:val="center"/>
              <w:textAlignment w:val="auto"/>
              <w:rPr>
                <w:highlight w:val="none"/>
              </w:rPr>
            </w:pPr>
          </w:p>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教</w:t>
            </w:r>
          </w:p>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学</w:t>
            </w:r>
          </w:p>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工</w:t>
            </w:r>
          </w:p>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作</w:t>
            </w:r>
          </w:p>
          <w:p>
            <w:pPr>
              <w:pageBreakBefore w:val="0"/>
              <w:kinsoku/>
              <w:wordWrap/>
              <w:overflowPunct/>
              <w:topLinePunct w:val="0"/>
              <w:autoSpaceDE/>
              <w:autoSpaceDN/>
              <w:bidi w:val="0"/>
              <w:spacing w:line="560" w:lineRule="exact"/>
              <w:jc w:val="center"/>
              <w:textAlignment w:val="auto"/>
              <w:rPr>
                <w:highlight w:val="none"/>
              </w:rPr>
            </w:pPr>
          </w:p>
          <w:p>
            <w:pPr>
              <w:pageBreakBefore w:val="0"/>
              <w:kinsoku/>
              <w:wordWrap/>
              <w:overflowPunct/>
              <w:topLinePunct w:val="0"/>
              <w:autoSpaceDE/>
              <w:autoSpaceDN/>
              <w:bidi w:val="0"/>
              <w:spacing w:line="560" w:lineRule="exact"/>
              <w:jc w:val="center"/>
              <w:textAlignment w:val="auto"/>
              <w:rPr>
                <w:highlight w:val="none"/>
              </w:rPr>
            </w:pPr>
          </w:p>
          <w:p>
            <w:pPr>
              <w:pageBreakBefore w:val="0"/>
              <w:kinsoku/>
              <w:wordWrap/>
              <w:overflowPunct/>
              <w:topLinePunct w:val="0"/>
              <w:autoSpaceDE/>
              <w:autoSpaceDN/>
              <w:bidi w:val="0"/>
              <w:spacing w:line="560" w:lineRule="exact"/>
              <w:jc w:val="center"/>
              <w:textAlignment w:val="auto"/>
              <w:rPr>
                <w:highlight w:val="none"/>
              </w:rPr>
            </w:pPr>
          </w:p>
        </w:tc>
        <w:tc>
          <w:tcPr>
            <w:tcW w:w="561" w:type="dxa"/>
            <w:vMerge w:val="restart"/>
            <w:noWrap w:val="0"/>
            <w:vAlign w:val="center"/>
          </w:tcPr>
          <w:p>
            <w:pPr>
              <w:pageBreakBefore w:val="0"/>
              <w:kinsoku/>
              <w:wordWrap/>
              <w:overflowPunct/>
              <w:topLinePunct w:val="0"/>
              <w:autoSpaceDE/>
              <w:autoSpaceDN/>
              <w:bidi w:val="0"/>
              <w:spacing w:line="560" w:lineRule="exact"/>
              <w:jc w:val="center"/>
              <w:textAlignment w:val="auto"/>
              <w:rPr>
                <w:highlight w:val="none"/>
              </w:rPr>
            </w:pPr>
            <w:r>
              <w:rPr>
                <w:highlight w:val="none"/>
              </w:rPr>
              <w:t>1</w:t>
            </w:r>
          </w:p>
        </w:tc>
        <w:tc>
          <w:tcPr>
            <w:tcW w:w="1754" w:type="dxa"/>
            <w:vMerge w:val="restart"/>
            <w:noWrap w:val="0"/>
            <w:vAlign w:val="center"/>
          </w:tcPr>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说课评价</w:t>
            </w:r>
          </w:p>
        </w:tc>
        <w:tc>
          <w:tcPr>
            <w:tcW w:w="1723" w:type="dxa"/>
            <w:gridSpan w:val="2"/>
            <w:noWrap w:val="0"/>
            <w:vAlign w:val="center"/>
          </w:tcPr>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优秀</w:t>
            </w:r>
          </w:p>
        </w:tc>
        <w:tc>
          <w:tcPr>
            <w:tcW w:w="1615" w:type="dxa"/>
            <w:gridSpan w:val="3"/>
            <w:noWrap w:val="0"/>
            <w:vAlign w:val="center"/>
          </w:tcPr>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良好</w:t>
            </w:r>
          </w:p>
        </w:tc>
        <w:tc>
          <w:tcPr>
            <w:tcW w:w="1491" w:type="dxa"/>
            <w:noWrap w:val="0"/>
            <w:vAlign w:val="center"/>
          </w:tcPr>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合格</w:t>
            </w:r>
          </w:p>
        </w:tc>
        <w:tc>
          <w:tcPr>
            <w:tcW w:w="1605" w:type="dxa"/>
            <w:gridSpan w:val="2"/>
            <w:noWrap w:val="0"/>
            <w:vAlign w:val="center"/>
          </w:tcPr>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trPr>
        <w:tc>
          <w:tcPr>
            <w:tcW w:w="529"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561"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1754"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1723" w:type="dxa"/>
            <w:gridSpan w:val="2"/>
            <w:noWrap w:val="0"/>
            <w:vAlign w:val="center"/>
          </w:tcPr>
          <w:p>
            <w:pPr>
              <w:pageBreakBefore w:val="0"/>
              <w:kinsoku/>
              <w:wordWrap/>
              <w:overflowPunct/>
              <w:topLinePunct w:val="0"/>
              <w:autoSpaceDE/>
              <w:autoSpaceDN/>
              <w:bidi w:val="0"/>
              <w:spacing w:line="560" w:lineRule="exact"/>
              <w:jc w:val="center"/>
              <w:textAlignment w:val="auto"/>
              <w:rPr>
                <w:highlight w:val="none"/>
              </w:rPr>
            </w:pPr>
            <w:r>
              <w:rPr>
                <w:highlight w:val="none"/>
              </w:rPr>
              <w:t>9</w:t>
            </w:r>
            <w:r>
              <w:rPr>
                <w:rFonts w:hint="eastAsia"/>
                <w:highlight w:val="none"/>
              </w:rPr>
              <w:t>≤优秀≤</w:t>
            </w:r>
            <w:r>
              <w:rPr>
                <w:highlight w:val="none"/>
              </w:rPr>
              <w:t>10</w:t>
            </w:r>
          </w:p>
        </w:tc>
        <w:tc>
          <w:tcPr>
            <w:tcW w:w="1615" w:type="dxa"/>
            <w:gridSpan w:val="3"/>
            <w:noWrap w:val="0"/>
            <w:vAlign w:val="center"/>
          </w:tcPr>
          <w:p>
            <w:pPr>
              <w:pageBreakBefore w:val="0"/>
              <w:kinsoku/>
              <w:wordWrap/>
              <w:overflowPunct/>
              <w:topLinePunct w:val="0"/>
              <w:autoSpaceDE/>
              <w:autoSpaceDN/>
              <w:bidi w:val="0"/>
              <w:spacing w:line="560" w:lineRule="exact"/>
              <w:jc w:val="center"/>
              <w:textAlignment w:val="auto"/>
              <w:rPr>
                <w:highlight w:val="none"/>
              </w:rPr>
            </w:pPr>
            <w:r>
              <w:rPr>
                <w:highlight w:val="none"/>
              </w:rPr>
              <w:t>8</w:t>
            </w:r>
            <w:r>
              <w:rPr>
                <w:rFonts w:hint="eastAsia"/>
                <w:highlight w:val="none"/>
              </w:rPr>
              <w:t>≤良好＜</w:t>
            </w:r>
            <w:r>
              <w:rPr>
                <w:highlight w:val="none"/>
              </w:rPr>
              <w:t>9</w:t>
            </w:r>
          </w:p>
        </w:tc>
        <w:tc>
          <w:tcPr>
            <w:tcW w:w="1491" w:type="dxa"/>
            <w:noWrap w:val="0"/>
            <w:vAlign w:val="center"/>
          </w:tcPr>
          <w:p>
            <w:pPr>
              <w:pageBreakBefore w:val="0"/>
              <w:kinsoku/>
              <w:wordWrap/>
              <w:overflowPunct/>
              <w:topLinePunct w:val="0"/>
              <w:autoSpaceDE/>
              <w:autoSpaceDN/>
              <w:bidi w:val="0"/>
              <w:spacing w:line="560" w:lineRule="exact"/>
              <w:jc w:val="center"/>
              <w:textAlignment w:val="auto"/>
              <w:rPr>
                <w:highlight w:val="none"/>
              </w:rPr>
            </w:pPr>
            <w:r>
              <w:rPr>
                <w:highlight w:val="none"/>
              </w:rPr>
              <w:t>6</w:t>
            </w:r>
            <w:r>
              <w:rPr>
                <w:rFonts w:hint="eastAsia"/>
                <w:highlight w:val="none"/>
              </w:rPr>
              <w:t>≤合格＜</w:t>
            </w:r>
            <w:r>
              <w:rPr>
                <w:highlight w:val="none"/>
              </w:rPr>
              <w:t>8</w:t>
            </w:r>
          </w:p>
        </w:tc>
        <w:tc>
          <w:tcPr>
            <w:tcW w:w="1605" w:type="dxa"/>
            <w:gridSpan w:val="2"/>
            <w:noWrap w:val="0"/>
            <w:vAlign w:val="center"/>
          </w:tcPr>
          <w:p>
            <w:pPr>
              <w:pageBreakBefore w:val="0"/>
              <w:kinsoku/>
              <w:wordWrap/>
              <w:overflowPunct/>
              <w:topLinePunct w:val="0"/>
              <w:autoSpaceDE/>
              <w:autoSpaceDN/>
              <w:bidi w:val="0"/>
              <w:spacing w:line="560" w:lineRule="exact"/>
              <w:jc w:val="center"/>
              <w:textAlignment w:val="auto"/>
              <w:rPr>
                <w:highlight w:val="none"/>
              </w:rPr>
            </w:pPr>
            <w:r>
              <w:rPr>
                <w:highlight w:val="none"/>
              </w:rPr>
              <w:t>6</w:t>
            </w:r>
            <w:r>
              <w:rPr>
                <w:rFonts w:hint="eastAsia"/>
                <w:highlight w:val="none"/>
              </w:rPr>
              <w:t>分以下取消评审资格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529"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561" w:type="dxa"/>
            <w:vMerge w:val="restart"/>
            <w:noWrap w:val="0"/>
            <w:vAlign w:val="center"/>
          </w:tcPr>
          <w:p>
            <w:pPr>
              <w:pageBreakBefore w:val="0"/>
              <w:kinsoku/>
              <w:wordWrap/>
              <w:overflowPunct/>
              <w:topLinePunct w:val="0"/>
              <w:autoSpaceDE/>
              <w:autoSpaceDN/>
              <w:bidi w:val="0"/>
              <w:spacing w:line="560" w:lineRule="exact"/>
              <w:jc w:val="center"/>
              <w:textAlignment w:val="auto"/>
              <w:rPr>
                <w:highlight w:val="none"/>
              </w:rPr>
            </w:pPr>
            <w:r>
              <w:rPr>
                <w:highlight w:val="none"/>
              </w:rPr>
              <w:t>2</w:t>
            </w:r>
          </w:p>
        </w:tc>
        <w:tc>
          <w:tcPr>
            <w:tcW w:w="1754" w:type="dxa"/>
            <w:vMerge w:val="restart"/>
            <w:noWrap w:val="0"/>
            <w:vAlign w:val="center"/>
          </w:tcPr>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近</w:t>
            </w:r>
            <w:r>
              <w:rPr>
                <w:highlight w:val="none"/>
              </w:rPr>
              <w:t>3</w:t>
            </w:r>
            <w:r>
              <w:rPr>
                <w:rFonts w:hint="eastAsia"/>
                <w:highlight w:val="none"/>
              </w:rPr>
              <w:t>年教案</w:t>
            </w:r>
          </w:p>
        </w:tc>
        <w:tc>
          <w:tcPr>
            <w:tcW w:w="1723" w:type="dxa"/>
            <w:gridSpan w:val="2"/>
            <w:noWrap w:val="0"/>
            <w:vAlign w:val="center"/>
          </w:tcPr>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优秀</w:t>
            </w:r>
          </w:p>
        </w:tc>
        <w:tc>
          <w:tcPr>
            <w:tcW w:w="1615" w:type="dxa"/>
            <w:gridSpan w:val="3"/>
            <w:noWrap w:val="0"/>
            <w:vAlign w:val="center"/>
          </w:tcPr>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良好</w:t>
            </w:r>
          </w:p>
        </w:tc>
        <w:tc>
          <w:tcPr>
            <w:tcW w:w="1491" w:type="dxa"/>
            <w:noWrap w:val="0"/>
            <w:vAlign w:val="center"/>
          </w:tcPr>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合格</w:t>
            </w:r>
          </w:p>
        </w:tc>
        <w:tc>
          <w:tcPr>
            <w:tcW w:w="1605" w:type="dxa"/>
            <w:gridSpan w:val="2"/>
            <w:noWrap w:val="0"/>
            <w:vAlign w:val="center"/>
          </w:tcPr>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529"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561"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1754"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1723" w:type="dxa"/>
            <w:gridSpan w:val="2"/>
            <w:noWrap w:val="0"/>
            <w:vAlign w:val="center"/>
          </w:tcPr>
          <w:p>
            <w:pPr>
              <w:pageBreakBefore w:val="0"/>
              <w:kinsoku/>
              <w:wordWrap/>
              <w:overflowPunct/>
              <w:topLinePunct w:val="0"/>
              <w:autoSpaceDE/>
              <w:autoSpaceDN/>
              <w:bidi w:val="0"/>
              <w:spacing w:line="560" w:lineRule="exact"/>
              <w:jc w:val="center"/>
              <w:textAlignment w:val="auto"/>
              <w:rPr>
                <w:highlight w:val="none"/>
              </w:rPr>
            </w:pPr>
            <w:r>
              <w:rPr>
                <w:highlight w:val="none"/>
              </w:rPr>
              <w:t>5</w:t>
            </w:r>
          </w:p>
        </w:tc>
        <w:tc>
          <w:tcPr>
            <w:tcW w:w="1615" w:type="dxa"/>
            <w:gridSpan w:val="3"/>
            <w:noWrap w:val="0"/>
            <w:vAlign w:val="center"/>
          </w:tcPr>
          <w:p>
            <w:pPr>
              <w:pageBreakBefore w:val="0"/>
              <w:kinsoku/>
              <w:wordWrap/>
              <w:overflowPunct/>
              <w:topLinePunct w:val="0"/>
              <w:autoSpaceDE/>
              <w:autoSpaceDN/>
              <w:bidi w:val="0"/>
              <w:spacing w:line="560" w:lineRule="exact"/>
              <w:jc w:val="center"/>
              <w:textAlignment w:val="auto"/>
              <w:rPr>
                <w:highlight w:val="none"/>
              </w:rPr>
            </w:pPr>
            <w:r>
              <w:rPr>
                <w:highlight w:val="none"/>
              </w:rPr>
              <w:t>3.5</w:t>
            </w:r>
          </w:p>
        </w:tc>
        <w:tc>
          <w:tcPr>
            <w:tcW w:w="1491" w:type="dxa"/>
            <w:noWrap w:val="0"/>
            <w:vAlign w:val="center"/>
          </w:tcPr>
          <w:p>
            <w:pPr>
              <w:pageBreakBefore w:val="0"/>
              <w:kinsoku/>
              <w:wordWrap/>
              <w:overflowPunct/>
              <w:topLinePunct w:val="0"/>
              <w:autoSpaceDE/>
              <w:autoSpaceDN/>
              <w:bidi w:val="0"/>
              <w:spacing w:line="560" w:lineRule="exact"/>
              <w:jc w:val="center"/>
              <w:textAlignment w:val="auto"/>
              <w:rPr>
                <w:highlight w:val="none"/>
              </w:rPr>
            </w:pPr>
            <w:r>
              <w:rPr>
                <w:highlight w:val="none"/>
              </w:rPr>
              <w:t>2</w:t>
            </w:r>
          </w:p>
        </w:tc>
        <w:tc>
          <w:tcPr>
            <w:tcW w:w="1605" w:type="dxa"/>
            <w:gridSpan w:val="2"/>
            <w:noWrap w:val="0"/>
            <w:vAlign w:val="center"/>
          </w:tcPr>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取消评审资格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trPr>
        <w:tc>
          <w:tcPr>
            <w:tcW w:w="529"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561" w:type="dxa"/>
            <w:vMerge w:val="restart"/>
            <w:noWrap w:val="0"/>
            <w:vAlign w:val="center"/>
          </w:tcPr>
          <w:p>
            <w:pPr>
              <w:pageBreakBefore w:val="0"/>
              <w:kinsoku/>
              <w:wordWrap/>
              <w:overflowPunct/>
              <w:topLinePunct w:val="0"/>
              <w:autoSpaceDE/>
              <w:autoSpaceDN/>
              <w:bidi w:val="0"/>
              <w:spacing w:line="560" w:lineRule="exact"/>
              <w:jc w:val="center"/>
              <w:textAlignment w:val="auto"/>
              <w:rPr>
                <w:highlight w:val="none"/>
              </w:rPr>
            </w:pPr>
            <w:r>
              <w:rPr>
                <w:highlight w:val="none"/>
              </w:rPr>
              <w:t>3</w:t>
            </w:r>
          </w:p>
        </w:tc>
        <w:tc>
          <w:tcPr>
            <w:tcW w:w="1754" w:type="dxa"/>
            <w:vMerge w:val="restart"/>
            <w:noWrap w:val="0"/>
            <w:vAlign w:val="center"/>
          </w:tcPr>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近</w:t>
            </w:r>
            <w:r>
              <w:rPr>
                <w:highlight w:val="none"/>
              </w:rPr>
              <w:t>5</w:t>
            </w:r>
            <w:r>
              <w:rPr>
                <w:rFonts w:hint="eastAsia"/>
                <w:highlight w:val="none"/>
              </w:rPr>
              <w:t>年年平均工作量</w:t>
            </w:r>
          </w:p>
        </w:tc>
        <w:tc>
          <w:tcPr>
            <w:tcW w:w="6434" w:type="dxa"/>
            <w:gridSpan w:val="8"/>
            <w:noWrap w:val="0"/>
            <w:vAlign w:val="center"/>
          </w:tcPr>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完成额定工作量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529"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561"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1754"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6434" w:type="dxa"/>
            <w:gridSpan w:val="8"/>
            <w:noWrap w:val="0"/>
            <w:vAlign w:val="center"/>
          </w:tcPr>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529"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561" w:type="dxa"/>
            <w:vMerge w:val="restart"/>
            <w:noWrap w:val="0"/>
            <w:vAlign w:val="center"/>
          </w:tcPr>
          <w:p>
            <w:pPr>
              <w:pageBreakBefore w:val="0"/>
              <w:kinsoku/>
              <w:wordWrap/>
              <w:overflowPunct/>
              <w:topLinePunct w:val="0"/>
              <w:autoSpaceDE/>
              <w:autoSpaceDN/>
              <w:bidi w:val="0"/>
              <w:spacing w:line="560" w:lineRule="exact"/>
              <w:jc w:val="center"/>
              <w:textAlignment w:val="auto"/>
              <w:rPr>
                <w:highlight w:val="none"/>
              </w:rPr>
            </w:pPr>
            <w:r>
              <w:rPr>
                <w:highlight w:val="none"/>
              </w:rPr>
              <w:t>4</w:t>
            </w:r>
          </w:p>
        </w:tc>
        <w:tc>
          <w:tcPr>
            <w:tcW w:w="1754" w:type="dxa"/>
            <w:vMerge w:val="restart"/>
            <w:noWrap w:val="0"/>
            <w:vAlign w:val="center"/>
          </w:tcPr>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近3年教学效果评价</w:t>
            </w:r>
          </w:p>
        </w:tc>
        <w:tc>
          <w:tcPr>
            <w:tcW w:w="1618" w:type="dxa"/>
            <w:noWrap w:val="0"/>
            <w:vAlign w:val="center"/>
          </w:tcPr>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85-100分</w:t>
            </w:r>
          </w:p>
        </w:tc>
        <w:tc>
          <w:tcPr>
            <w:tcW w:w="1687" w:type="dxa"/>
            <w:gridSpan w:val="3"/>
            <w:noWrap w:val="0"/>
            <w:vAlign w:val="center"/>
          </w:tcPr>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75-84分</w:t>
            </w:r>
          </w:p>
        </w:tc>
        <w:tc>
          <w:tcPr>
            <w:tcW w:w="1579" w:type="dxa"/>
            <w:gridSpan w:val="3"/>
            <w:noWrap w:val="0"/>
            <w:vAlign w:val="center"/>
          </w:tcPr>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60-74分</w:t>
            </w:r>
          </w:p>
        </w:tc>
        <w:tc>
          <w:tcPr>
            <w:tcW w:w="1550" w:type="dxa"/>
            <w:noWrap w:val="0"/>
            <w:vAlign w:val="center"/>
          </w:tcPr>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60分以下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trPr>
        <w:tc>
          <w:tcPr>
            <w:tcW w:w="529"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561"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1754"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1618" w:type="dxa"/>
            <w:noWrap w:val="0"/>
            <w:vAlign w:val="center"/>
          </w:tcPr>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每年3分</w:t>
            </w:r>
          </w:p>
        </w:tc>
        <w:tc>
          <w:tcPr>
            <w:tcW w:w="1687" w:type="dxa"/>
            <w:gridSpan w:val="3"/>
            <w:noWrap w:val="0"/>
            <w:vAlign w:val="center"/>
          </w:tcPr>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每年2分</w:t>
            </w:r>
          </w:p>
        </w:tc>
        <w:tc>
          <w:tcPr>
            <w:tcW w:w="1579" w:type="dxa"/>
            <w:gridSpan w:val="3"/>
            <w:noWrap w:val="0"/>
            <w:vAlign w:val="center"/>
          </w:tcPr>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每年1分</w:t>
            </w:r>
          </w:p>
        </w:tc>
        <w:tc>
          <w:tcPr>
            <w:tcW w:w="1550" w:type="dxa"/>
            <w:noWrap w:val="0"/>
            <w:vAlign w:val="center"/>
          </w:tcPr>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取消当年评审资格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529"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561" w:type="dxa"/>
            <w:vMerge w:val="restart"/>
            <w:noWrap w:val="0"/>
            <w:vAlign w:val="center"/>
          </w:tcPr>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5</w:t>
            </w:r>
          </w:p>
        </w:tc>
        <w:tc>
          <w:tcPr>
            <w:tcW w:w="1754" w:type="dxa"/>
            <w:vMerge w:val="restart"/>
            <w:noWrap w:val="0"/>
            <w:vAlign w:val="center"/>
          </w:tcPr>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教学工作实践</w:t>
            </w:r>
          </w:p>
        </w:tc>
        <w:tc>
          <w:tcPr>
            <w:tcW w:w="1618" w:type="dxa"/>
            <w:noWrap w:val="0"/>
            <w:vAlign w:val="center"/>
          </w:tcPr>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优秀</w:t>
            </w:r>
          </w:p>
        </w:tc>
        <w:tc>
          <w:tcPr>
            <w:tcW w:w="1687" w:type="dxa"/>
            <w:gridSpan w:val="3"/>
            <w:noWrap w:val="0"/>
            <w:vAlign w:val="center"/>
          </w:tcPr>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良好</w:t>
            </w:r>
          </w:p>
        </w:tc>
        <w:tc>
          <w:tcPr>
            <w:tcW w:w="1579" w:type="dxa"/>
            <w:gridSpan w:val="3"/>
            <w:noWrap w:val="0"/>
            <w:vAlign w:val="center"/>
          </w:tcPr>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合格</w:t>
            </w:r>
          </w:p>
        </w:tc>
        <w:tc>
          <w:tcPr>
            <w:tcW w:w="1550" w:type="dxa"/>
            <w:noWrap w:val="0"/>
            <w:vAlign w:val="center"/>
          </w:tcPr>
          <w:p>
            <w:pPr>
              <w:pageBreakBefore w:val="0"/>
              <w:kinsoku/>
              <w:wordWrap/>
              <w:overflowPunct/>
              <w:topLinePunct w:val="0"/>
              <w:autoSpaceDE/>
              <w:autoSpaceDN/>
              <w:bidi w:val="0"/>
              <w:spacing w:line="560" w:lineRule="exact"/>
              <w:jc w:val="center"/>
              <w:textAlignment w:val="auto"/>
              <w:rPr>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529"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561"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1754"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1618" w:type="dxa"/>
            <w:noWrap w:val="0"/>
            <w:vAlign w:val="center"/>
          </w:tcPr>
          <w:p>
            <w:pPr>
              <w:pageBreakBefore w:val="0"/>
              <w:kinsoku/>
              <w:wordWrap/>
              <w:overflowPunct/>
              <w:topLinePunct w:val="0"/>
              <w:autoSpaceDE/>
              <w:autoSpaceDN/>
              <w:bidi w:val="0"/>
              <w:spacing w:line="560" w:lineRule="exact"/>
              <w:jc w:val="center"/>
              <w:textAlignment w:val="auto"/>
              <w:rPr>
                <w:highlight w:val="none"/>
              </w:rPr>
            </w:pPr>
            <w:r>
              <w:rPr>
                <w:highlight w:val="none"/>
              </w:rPr>
              <w:t>5</w:t>
            </w:r>
          </w:p>
        </w:tc>
        <w:tc>
          <w:tcPr>
            <w:tcW w:w="1687" w:type="dxa"/>
            <w:gridSpan w:val="3"/>
            <w:noWrap w:val="0"/>
            <w:vAlign w:val="center"/>
          </w:tcPr>
          <w:p>
            <w:pPr>
              <w:pageBreakBefore w:val="0"/>
              <w:kinsoku/>
              <w:wordWrap/>
              <w:overflowPunct/>
              <w:topLinePunct w:val="0"/>
              <w:autoSpaceDE/>
              <w:autoSpaceDN/>
              <w:bidi w:val="0"/>
              <w:spacing w:line="560" w:lineRule="exact"/>
              <w:jc w:val="center"/>
              <w:textAlignment w:val="auto"/>
              <w:rPr>
                <w:highlight w:val="none"/>
              </w:rPr>
            </w:pPr>
            <w:r>
              <w:rPr>
                <w:highlight w:val="none"/>
              </w:rPr>
              <w:t>3.5</w:t>
            </w:r>
          </w:p>
        </w:tc>
        <w:tc>
          <w:tcPr>
            <w:tcW w:w="1579" w:type="dxa"/>
            <w:gridSpan w:val="3"/>
            <w:noWrap w:val="0"/>
            <w:vAlign w:val="center"/>
          </w:tcPr>
          <w:p>
            <w:pPr>
              <w:pageBreakBefore w:val="0"/>
              <w:kinsoku/>
              <w:wordWrap/>
              <w:overflowPunct/>
              <w:topLinePunct w:val="0"/>
              <w:autoSpaceDE/>
              <w:autoSpaceDN/>
              <w:bidi w:val="0"/>
              <w:spacing w:line="560" w:lineRule="exact"/>
              <w:jc w:val="center"/>
              <w:textAlignment w:val="auto"/>
              <w:rPr>
                <w:highlight w:val="none"/>
              </w:rPr>
            </w:pPr>
            <w:r>
              <w:rPr>
                <w:highlight w:val="none"/>
              </w:rPr>
              <w:t>2</w:t>
            </w:r>
          </w:p>
        </w:tc>
        <w:tc>
          <w:tcPr>
            <w:tcW w:w="1550" w:type="dxa"/>
            <w:noWrap w:val="0"/>
            <w:vAlign w:val="center"/>
          </w:tcPr>
          <w:p>
            <w:pPr>
              <w:pageBreakBefore w:val="0"/>
              <w:kinsoku/>
              <w:wordWrap/>
              <w:overflowPunct/>
              <w:topLinePunct w:val="0"/>
              <w:autoSpaceDE/>
              <w:autoSpaceDN/>
              <w:bidi w:val="0"/>
              <w:spacing w:line="560" w:lineRule="exact"/>
              <w:jc w:val="center"/>
              <w:textAlignment w:val="auto"/>
              <w:rPr>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5" w:hRule="atLeast"/>
        </w:trPr>
        <w:tc>
          <w:tcPr>
            <w:tcW w:w="529"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561" w:type="dxa"/>
            <w:noWrap w:val="0"/>
            <w:vAlign w:val="center"/>
          </w:tcPr>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6</w:t>
            </w:r>
          </w:p>
        </w:tc>
        <w:tc>
          <w:tcPr>
            <w:tcW w:w="1754" w:type="dxa"/>
            <w:noWrap w:val="0"/>
            <w:vAlign w:val="center"/>
          </w:tcPr>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担任班主任和辅导员工作（任现职期间）</w:t>
            </w:r>
          </w:p>
        </w:tc>
        <w:tc>
          <w:tcPr>
            <w:tcW w:w="6434" w:type="dxa"/>
            <w:gridSpan w:val="8"/>
            <w:noWrap w:val="0"/>
            <w:vAlign w:val="center"/>
          </w:tcPr>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每年</w:t>
            </w:r>
            <w:r>
              <w:rPr>
                <w:rFonts w:hint="eastAsia" w:ascii="宋体" w:hAnsi="宋体"/>
                <w:highlight w:val="none"/>
              </w:rPr>
              <w:t>×0.8（满一年以上才可以赋分，最高不超过3.2分）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529"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561" w:type="dxa"/>
            <w:vMerge w:val="restart"/>
            <w:noWrap w:val="0"/>
            <w:vAlign w:val="center"/>
          </w:tcPr>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7</w:t>
            </w:r>
          </w:p>
        </w:tc>
        <w:tc>
          <w:tcPr>
            <w:tcW w:w="1754" w:type="dxa"/>
            <w:vMerge w:val="restart"/>
            <w:noWrap w:val="0"/>
            <w:vAlign w:val="center"/>
          </w:tcPr>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近</w:t>
            </w:r>
            <w:r>
              <w:rPr>
                <w:highlight w:val="none"/>
              </w:rPr>
              <w:t>3</w:t>
            </w:r>
            <w:r>
              <w:rPr>
                <w:rFonts w:hint="eastAsia"/>
                <w:highlight w:val="none"/>
              </w:rPr>
              <w:t>年年度考核</w:t>
            </w:r>
          </w:p>
        </w:tc>
        <w:tc>
          <w:tcPr>
            <w:tcW w:w="3305" w:type="dxa"/>
            <w:gridSpan w:val="4"/>
            <w:noWrap w:val="0"/>
            <w:vAlign w:val="center"/>
          </w:tcPr>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优秀</w:t>
            </w:r>
          </w:p>
        </w:tc>
        <w:tc>
          <w:tcPr>
            <w:tcW w:w="3129" w:type="dxa"/>
            <w:gridSpan w:val="4"/>
            <w:noWrap w:val="0"/>
            <w:vAlign w:val="center"/>
          </w:tcPr>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529"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561"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1754"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3305" w:type="dxa"/>
            <w:gridSpan w:val="4"/>
            <w:noWrap w:val="0"/>
            <w:vAlign w:val="center"/>
          </w:tcPr>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每年</w:t>
            </w:r>
            <w:r>
              <w:rPr>
                <w:highlight w:val="none"/>
              </w:rPr>
              <w:t>2</w:t>
            </w:r>
            <w:r>
              <w:rPr>
                <w:rFonts w:hint="eastAsia"/>
                <w:highlight w:val="none"/>
              </w:rPr>
              <w:t>分</w:t>
            </w:r>
          </w:p>
        </w:tc>
        <w:tc>
          <w:tcPr>
            <w:tcW w:w="3129" w:type="dxa"/>
            <w:gridSpan w:val="4"/>
            <w:noWrap w:val="0"/>
            <w:vAlign w:val="center"/>
          </w:tcPr>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每年</w:t>
            </w:r>
            <w:r>
              <w:rPr>
                <w:highlight w:val="none"/>
              </w:rPr>
              <w:t>1</w:t>
            </w:r>
            <w:r>
              <w:rPr>
                <w:rFonts w:hint="eastAsia"/>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529"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561" w:type="dxa"/>
            <w:noWrap w:val="0"/>
            <w:vAlign w:val="center"/>
          </w:tcPr>
          <w:p>
            <w:pPr>
              <w:pageBreakBefore w:val="0"/>
              <w:kinsoku/>
              <w:wordWrap/>
              <w:overflowPunct/>
              <w:topLinePunct w:val="0"/>
              <w:autoSpaceDE/>
              <w:autoSpaceDN/>
              <w:bidi w:val="0"/>
              <w:spacing w:line="560" w:lineRule="exact"/>
              <w:jc w:val="center"/>
              <w:textAlignment w:val="auto"/>
              <w:rPr>
                <w:highlight w:val="none"/>
              </w:rPr>
            </w:pPr>
            <w:r>
              <w:rPr>
                <w:highlight w:val="none"/>
              </w:rPr>
              <w:t>8</w:t>
            </w:r>
          </w:p>
        </w:tc>
        <w:tc>
          <w:tcPr>
            <w:tcW w:w="1754" w:type="dxa"/>
            <w:noWrap w:val="0"/>
            <w:vAlign w:val="center"/>
          </w:tcPr>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校龄</w:t>
            </w:r>
          </w:p>
        </w:tc>
        <w:tc>
          <w:tcPr>
            <w:tcW w:w="6434" w:type="dxa"/>
            <w:gridSpan w:val="8"/>
            <w:noWrap w:val="0"/>
            <w:vAlign w:val="center"/>
          </w:tcPr>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校龄年限</w:t>
            </w:r>
            <w:r>
              <w:rPr>
                <w:rFonts w:hint="eastAsia" w:ascii="宋体" w:hAnsi="宋体"/>
                <w:highlight w:val="none"/>
              </w:rPr>
              <w:t>×</w:t>
            </w:r>
            <w:r>
              <w:rPr>
                <w:rFonts w:ascii="宋体" w:hAnsi="宋体"/>
                <w:highlight w:val="none"/>
              </w:rPr>
              <w:t>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trPr>
        <w:tc>
          <w:tcPr>
            <w:tcW w:w="529"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561" w:type="dxa"/>
            <w:vMerge w:val="restart"/>
            <w:noWrap w:val="0"/>
            <w:vAlign w:val="center"/>
          </w:tcPr>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9</w:t>
            </w:r>
          </w:p>
        </w:tc>
        <w:tc>
          <w:tcPr>
            <w:tcW w:w="1754" w:type="dxa"/>
            <w:vMerge w:val="restart"/>
            <w:noWrap w:val="0"/>
            <w:vAlign w:val="center"/>
          </w:tcPr>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进修经历（时间以取得证书时间为准）</w:t>
            </w:r>
          </w:p>
        </w:tc>
        <w:tc>
          <w:tcPr>
            <w:tcW w:w="3216" w:type="dxa"/>
            <w:gridSpan w:val="3"/>
            <w:noWrap w:val="0"/>
            <w:vAlign w:val="center"/>
          </w:tcPr>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攻读学历学位</w:t>
            </w:r>
          </w:p>
        </w:tc>
        <w:tc>
          <w:tcPr>
            <w:tcW w:w="3218" w:type="dxa"/>
            <w:gridSpan w:val="5"/>
            <w:noWrap w:val="0"/>
            <w:vAlign w:val="center"/>
          </w:tcPr>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国外研修半年以上</w:t>
            </w:r>
            <w:r>
              <w:rPr>
                <w:highlight w:val="none"/>
              </w:rPr>
              <w:t>/</w:t>
            </w:r>
            <w:r>
              <w:rPr>
                <w:rFonts w:hint="eastAsia"/>
                <w:highlight w:val="none"/>
              </w:rPr>
              <w:t>国内</w:t>
            </w:r>
            <w:r>
              <w:rPr>
                <w:highlight w:val="none"/>
              </w:rPr>
              <w:t>1</w:t>
            </w:r>
            <w:r>
              <w:rPr>
                <w:rFonts w:hint="eastAsia"/>
                <w:highlight w:val="none"/>
              </w:rPr>
              <w:t>年以上专业进修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529"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561"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1754"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3216" w:type="dxa"/>
            <w:gridSpan w:val="3"/>
            <w:noWrap w:val="0"/>
            <w:vAlign w:val="center"/>
          </w:tcPr>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4</w:t>
            </w:r>
          </w:p>
        </w:tc>
        <w:tc>
          <w:tcPr>
            <w:tcW w:w="3218" w:type="dxa"/>
            <w:gridSpan w:val="5"/>
            <w:noWrap w:val="0"/>
            <w:vAlign w:val="center"/>
          </w:tcPr>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3</w:t>
            </w:r>
          </w:p>
        </w:tc>
      </w:tr>
    </w:tbl>
    <w:p>
      <w:pPr>
        <w:pageBreakBefore w:val="0"/>
        <w:kinsoku/>
        <w:wordWrap/>
        <w:overflowPunct/>
        <w:topLinePunct w:val="0"/>
        <w:autoSpaceDE/>
        <w:autoSpaceDN/>
        <w:bidi w:val="0"/>
        <w:spacing w:line="560" w:lineRule="exact"/>
        <w:textAlignment w:val="auto"/>
        <w:rPr>
          <w:rFonts w:ascii="仿宋_GB2312" w:hAnsi="仿宋_GB2312" w:eastAsia="仿宋_GB2312" w:cs="仿宋_GB2312"/>
          <w:b/>
          <w:bCs/>
          <w:sz w:val="32"/>
          <w:szCs w:val="32"/>
          <w:highlight w:val="none"/>
        </w:rPr>
      </w:pPr>
    </w:p>
    <w:p>
      <w:pPr>
        <w:pageBreakBefore w:val="0"/>
        <w:numPr>
          <w:ilvl w:val="0"/>
          <w:numId w:val="4"/>
        </w:numPr>
        <w:kinsoku/>
        <w:wordWrap/>
        <w:overflowPunct/>
        <w:topLinePunct w:val="0"/>
        <w:autoSpaceDE/>
        <w:autoSpaceDN/>
        <w:bidi w:val="0"/>
        <w:spacing w:line="560" w:lineRule="exact"/>
        <w:textAlignment w:val="auto"/>
        <w:rPr>
          <w:rFonts w:ascii="黑体" w:hAnsi="黑体" w:eastAsia="黑体" w:cs="黑体"/>
          <w:sz w:val="32"/>
          <w:szCs w:val="32"/>
          <w:highlight w:val="none"/>
        </w:rPr>
      </w:pPr>
      <w:r>
        <w:rPr>
          <w:rFonts w:hint="eastAsia" w:ascii="黑体" w:hAnsi="黑体" w:eastAsia="黑体" w:cs="黑体"/>
          <w:sz w:val="32"/>
          <w:szCs w:val="32"/>
          <w:highlight w:val="none"/>
        </w:rPr>
        <w:t>教育教学</w:t>
      </w:r>
      <w:r>
        <w:rPr>
          <w:rFonts w:hint="eastAsia" w:ascii="黑体" w:hAnsi="黑体" w:eastAsia="黑体" w:cs="黑体"/>
          <w:sz w:val="32"/>
          <w:szCs w:val="32"/>
          <w:highlight w:val="none"/>
          <w:lang w:eastAsia="zh-Hans"/>
        </w:rPr>
        <w:t>专业成果</w:t>
      </w:r>
      <w:r>
        <w:rPr>
          <w:rFonts w:hint="eastAsia" w:ascii="黑体" w:hAnsi="黑体" w:eastAsia="黑体" w:cs="黑体"/>
          <w:sz w:val="32"/>
          <w:szCs w:val="32"/>
          <w:highlight w:val="none"/>
        </w:rPr>
        <w:t>认定标准及分值</w:t>
      </w:r>
    </w:p>
    <w:tbl>
      <w:tblPr>
        <w:tblStyle w:val="4"/>
        <w:tblpPr w:leftFromText="180" w:rightFromText="180" w:vertAnchor="text" w:horzAnchor="page" w:tblpXSpec="center" w:tblpY="462"/>
        <w:tblW w:w="101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807"/>
        <w:gridCol w:w="1604"/>
        <w:gridCol w:w="1526"/>
        <w:gridCol w:w="1448"/>
        <w:gridCol w:w="1570"/>
        <w:gridCol w:w="1579"/>
        <w:gridCol w:w="508"/>
        <w:gridCol w:w="571"/>
        <w:gridCol w:w="5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501" w:hRule="atLeast"/>
          <w:jc w:val="center"/>
        </w:trPr>
        <w:tc>
          <w:tcPr>
            <w:tcW w:w="807" w:type="dxa"/>
            <w:vMerge w:val="restart"/>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b/>
                <w:bCs/>
                <w:i/>
                <w:iCs/>
                <w:highlight w:val="none"/>
              </w:rPr>
            </w:pPr>
          </w:p>
          <w:p>
            <w:pPr>
              <w:pageBreakBefore w:val="0"/>
              <w:kinsoku/>
              <w:wordWrap/>
              <w:overflowPunct/>
              <w:topLinePunct w:val="0"/>
              <w:autoSpaceDE/>
              <w:autoSpaceDN/>
              <w:bidi w:val="0"/>
              <w:spacing w:line="560" w:lineRule="exact"/>
              <w:jc w:val="center"/>
              <w:textAlignment w:val="auto"/>
              <w:rPr>
                <w:rFonts w:ascii="Times New Roman" w:hAnsi="Times New Roman"/>
                <w:b/>
                <w:bCs/>
                <w:i/>
                <w:iCs/>
                <w:highlight w:val="none"/>
              </w:rPr>
            </w:pPr>
          </w:p>
        </w:tc>
        <w:tc>
          <w:tcPr>
            <w:tcW w:w="4578" w:type="dxa"/>
            <w:gridSpan w:val="3"/>
            <w:vMerge w:val="restart"/>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b/>
                <w:bCs/>
                <w:highlight w:val="none"/>
              </w:rPr>
            </w:pPr>
            <w:r>
              <w:rPr>
                <w:rFonts w:hint="eastAsia" w:ascii="Times New Roman" w:hAnsi="Times New Roman"/>
                <w:b/>
                <w:bCs/>
                <w:highlight w:val="none"/>
              </w:rPr>
              <w:t>项目</w:t>
            </w:r>
          </w:p>
        </w:tc>
        <w:tc>
          <w:tcPr>
            <w:tcW w:w="4733" w:type="dxa"/>
            <w:gridSpan w:val="5"/>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b/>
                <w:bCs/>
                <w:highlight w:val="none"/>
              </w:rPr>
            </w:pPr>
            <w:r>
              <w:rPr>
                <w:rFonts w:hint="eastAsia" w:ascii="Times New Roman" w:hAnsi="Times New Roman"/>
                <w:b/>
                <w:bCs/>
                <w:highlight w:val="none"/>
              </w:rPr>
              <w:t>分级与分值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450" w:hRule="atLeast"/>
          <w:jc w:val="center"/>
        </w:trPr>
        <w:tc>
          <w:tcPr>
            <w:tcW w:w="807" w:type="dxa"/>
            <w:vMerge w:val="continue"/>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tc>
        <w:tc>
          <w:tcPr>
            <w:tcW w:w="4578" w:type="dxa"/>
            <w:gridSpan w:val="3"/>
            <w:vMerge w:val="continue"/>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p>
        </w:tc>
        <w:tc>
          <w:tcPr>
            <w:tcW w:w="1570" w:type="dxa"/>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Times New Roman" w:hAnsi="Times New Roman"/>
                <w:highlight w:val="none"/>
              </w:rPr>
              <w:t>国家级</w:t>
            </w:r>
          </w:p>
        </w:tc>
        <w:tc>
          <w:tcPr>
            <w:tcW w:w="1579" w:type="dxa"/>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Times New Roman" w:hAnsi="Times New Roman"/>
                <w:highlight w:val="none"/>
              </w:rPr>
              <w:t>自治区级</w:t>
            </w:r>
          </w:p>
        </w:tc>
        <w:tc>
          <w:tcPr>
            <w:tcW w:w="1584" w:type="dxa"/>
            <w:gridSpan w:val="3"/>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Times New Roman" w:hAnsi="Times New Roman"/>
                <w:highlight w:val="none"/>
              </w:rPr>
              <w:t>校级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07" w:type="dxa"/>
            <w:vMerge w:val="restart"/>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r>
              <w:rPr>
                <w:rFonts w:hint="eastAsia" w:ascii="Times New Roman" w:hAnsi="Times New Roman"/>
                <w:i/>
                <w:iCs/>
                <w:highlight w:val="none"/>
              </w:rPr>
              <w:t>教   学   成   果   类</w:t>
            </w:r>
          </w:p>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p>
            <w:pPr>
              <w:pageBreakBefore w:val="0"/>
              <w:kinsoku/>
              <w:wordWrap/>
              <w:overflowPunct/>
              <w:topLinePunct w:val="0"/>
              <w:autoSpaceDE/>
              <w:autoSpaceDN/>
              <w:bidi w:val="0"/>
              <w:spacing w:line="560" w:lineRule="exact"/>
              <w:textAlignment w:val="auto"/>
              <w:rPr>
                <w:rFonts w:hint="eastAsia" w:ascii="Times New Roman" w:hAnsi="Times New Roman"/>
                <w:i/>
                <w:iCs/>
                <w:highlight w:val="none"/>
              </w:rPr>
            </w:pPr>
          </w:p>
        </w:tc>
        <w:tc>
          <w:tcPr>
            <w:tcW w:w="1604" w:type="dxa"/>
            <w:vMerge w:val="restart"/>
            <w:shd w:val="clear" w:color="auto" w:fill="FFFFFF"/>
            <w:noWrap w:val="0"/>
            <w:vAlign w:val="center"/>
          </w:tcPr>
          <w:p>
            <w:pPr>
              <w:pageBreakBefore w:val="0"/>
              <w:kinsoku/>
              <w:wordWrap/>
              <w:overflowPunct/>
              <w:topLinePunct w:val="0"/>
              <w:autoSpaceDE/>
              <w:autoSpaceDN/>
              <w:bidi w:val="0"/>
              <w:spacing w:line="560" w:lineRule="exact"/>
              <w:ind w:firstLine="210" w:firstLineChars="100"/>
              <w:textAlignment w:val="auto"/>
              <w:rPr>
                <w:rFonts w:ascii="Times New Roman" w:hAnsi="Times New Roman"/>
                <w:highlight w:val="none"/>
              </w:rPr>
            </w:pPr>
            <w:r>
              <w:rPr>
                <w:rFonts w:hint="eastAsia" w:ascii="Times New Roman" w:hAnsi="Times New Roman"/>
                <w:highlight w:val="none"/>
              </w:rPr>
              <w:t>教学成果奖</w:t>
            </w:r>
          </w:p>
        </w:tc>
        <w:tc>
          <w:tcPr>
            <w:tcW w:w="1526" w:type="dxa"/>
            <w:vMerge w:val="restart"/>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Times New Roman" w:hAnsi="Times New Roman"/>
                <w:highlight w:val="none"/>
              </w:rPr>
              <w:t>特等奖</w:t>
            </w:r>
          </w:p>
        </w:tc>
        <w:tc>
          <w:tcPr>
            <w:tcW w:w="1448" w:type="dxa"/>
            <w:shd w:val="clear" w:color="auto" w:fill="FFFFFF"/>
            <w:noWrap w:val="0"/>
            <w:vAlign w:val="center"/>
          </w:tcPr>
          <w:p>
            <w:pPr>
              <w:pageBreakBefore w:val="0"/>
              <w:kinsoku/>
              <w:wordWrap/>
              <w:overflowPunct/>
              <w:topLinePunct w:val="0"/>
              <w:autoSpaceDE/>
              <w:autoSpaceDN/>
              <w:bidi w:val="0"/>
              <w:spacing w:before="71" w:line="560" w:lineRule="exact"/>
              <w:jc w:val="center"/>
              <w:textAlignment w:val="auto"/>
              <w:rPr>
                <w:rFonts w:ascii="Times New Roman" w:hAnsi="Times New Roman"/>
                <w:highlight w:val="none"/>
              </w:rPr>
            </w:pPr>
            <w:r>
              <w:rPr>
                <w:rFonts w:hint="eastAsia" w:ascii="仿宋" w:hAnsi="仿宋" w:eastAsia="仿宋" w:cs="仿宋"/>
                <w:b/>
                <w:bCs/>
                <w:spacing w:val="2"/>
                <w:sz w:val="24"/>
                <w:highlight w:val="none"/>
              </w:rPr>
              <w:t>负</w:t>
            </w:r>
            <w:r>
              <w:rPr>
                <w:rFonts w:hint="eastAsia" w:ascii="仿宋" w:hAnsi="仿宋" w:eastAsia="仿宋" w:cs="仿宋"/>
                <w:b/>
                <w:bCs/>
                <w:spacing w:val="1"/>
                <w:sz w:val="24"/>
                <w:highlight w:val="none"/>
              </w:rPr>
              <w:t>责人</w:t>
            </w:r>
          </w:p>
        </w:tc>
        <w:tc>
          <w:tcPr>
            <w:tcW w:w="1570" w:type="dxa"/>
            <w:shd w:val="clear" w:color="auto" w:fill="FFFFFF"/>
            <w:noWrap w:val="0"/>
            <w:vAlign w:val="center"/>
          </w:tcPr>
          <w:p>
            <w:pPr>
              <w:pageBreakBefore w:val="0"/>
              <w:kinsoku/>
              <w:wordWrap/>
              <w:overflowPunct/>
              <w:topLinePunct w:val="0"/>
              <w:autoSpaceDE/>
              <w:autoSpaceDN/>
              <w:bidi w:val="0"/>
              <w:spacing w:before="126" w:line="560" w:lineRule="exact"/>
              <w:ind w:left="630"/>
              <w:textAlignment w:val="auto"/>
              <w:rPr>
                <w:rFonts w:ascii="Times New Roman" w:hAnsi="Times New Roman"/>
                <w:highlight w:val="none"/>
              </w:rPr>
            </w:pPr>
            <w:r>
              <w:rPr>
                <w:rFonts w:hint="eastAsia" w:ascii="仿宋" w:hAnsi="仿宋" w:eastAsia="仿宋" w:cs="仿宋"/>
                <w:b/>
                <w:bCs/>
                <w:spacing w:val="1"/>
                <w:sz w:val="24"/>
                <w:highlight w:val="none"/>
              </w:rPr>
              <w:t>36</w:t>
            </w:r>
          </w:p>
        </w:tc>
        <w:tc>
          <w:tcPr>
            <w:tcW w:w="1579" w:type="dxa"/>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Times New Roman" w:hAnsi="Times New Roman"/>
                <w:highlight w:val="none"/>
              </w:rPr>
              <w:t>——</w:t>
            </w:r>
          </w:p>
        </w:tc>
        <w:tc>
          <w:tcPr>
            <w:tcW w:w="1584" w:type="dxa"/>
            <w:gridSpan w:val="3"/>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Times New Roman" w:hAnsi="Times New Roman"/>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07" w:type="dxa"/>
            <w:vMerge w:val="continue"/>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tc>
        <w:tc>
          <w:tcPr>
            <w:tcW w:w="1604" w:type="dxa"/>
            <w:vMerge w:val="continue"/>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p>
        </w:tc>
        <w:tc>
          <w:tcPr>
            <w:tcW w:w="1526" w:type="dxa"/>
            <w:vMerge w:val="continue"/>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p>
        </w:tc>
        <w:tc>
          <w:tcPr>
            <w:tcW w:w="1448" w:type="dxa"/>
            <w:shd w:val="clear" w:color="auto" w:fill="FFFFFF"/>
            <w:noWrap w:val="0"/>
            <w:vAlign w:val="center"/>
          </w:tcPr>
          <w:p>
            <w:pPr>
              <w:pageBreakBefore w:val="0"/>
              <w:kinsoku/>
              <w:wordWrap/>
              <w:overflowPunct/>
              <w:topLinePunct w:val="0"/>
              <w:autoSpaceDE/>
              <w:autoSpaceDN/>
              <w:bidi w:val="0"/>
              <w:spacing w:before="71" w:line="560" w:lineRule="exact"/>
              <w:jc w:val="center"/>
              <w:textAlignment w:val="auto"/>
              <w:rPr>
                <w:rFonts w:ascii="Times New Roman" w:hAnsi="Times New Roman"/>
                <w:highlight w:val="none"/>
              </w:rPr>
            </w:pPr>
            <w:r>
              <w:rPr>
                <w:rFonts w:hint="eastAsia" w:ascii="仿宋" w:hAnsi="仿宋" w:eastAsia="仿宋" w:cs="仿宋"/>
                <w:spacing w:val="2"/>
                <w:sz w:val="22"/>
                <w:szCs w:val="22"/>
                <w:highlight w:val="none"/>
              </w:rPr>
              <w:t>成员前1/3</w:t>
            </w:r>
          </w:p>
        </w:tc>
        <w:tc>
          <w:tcPr>
            <w:tcW w:w="1570" w:type="dxa"/>
            <w:shd w:val="clear" w:color="auto" w:fill="FFFFFF"/>
            <w:noWrap w:val="0"/>
            <w:vAlign w:val="center"/>
          </w:tcPr>
          <w:p>
            <w:pPr>
              <w:pageBreakBefore w:val="0"/>
              <w:kinsoku/>
              <w:wordWrap/>
              <w:overflowPunct/>
              <w:topLinePunct w:val="0"/>
              <w:autoSpaceDE/>
              <w:autoSpaceDN/>
              <w:bidi w:val="0"/>
              <w:spacing w:before="115" w:line="560" w:lineRule="exact"/>
              <w:ind w:left="661"/>
              <w:textAlignment w:val="auto"/>
              <w:rPr>
                <w:rFonts w:ascii="Times New Roman" w:hAnsi="Times New Roman"/>
                <w:highlight w:val="none"/>
              </w:rPr>
            </w:pPr>
            <w:r>
              <w:rPr>
                <w:rFonts w:hint="eastAsia" w:ascii="仿宋" w:hAnsi="仿宋" w:eastAsia="仿宋" w:cs="仿宋"/>
                <w:spacing w:val="-15"/>
                <w:sz w:val="22"/>
                <w:szCs w:val="22"/>
                <w:highlight w:val="none"/>
              </w:rPr>
              <w:t>33</w:t>
            </w:r>
          </w:p>
        </w:tc>
        <w:tc>
          <w:tcPr>
            <w:tcW w:w="1579" w:type="dxa"/>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Times New Roman" w:hAnsi="Times New Roman"/>
                <w:highlight w:val="none"/>
              </w:rPr>
              <w:t>——</w:t>
            </w:r>
          </w:p>
        </w:tc>
        <w:tc>
          <w:tcPr>
            <w:tcW w:w="1584" w:type="dxa"/>
            <w:gridSpan w:val="3"/>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Times New Roman" w:hAnsi="Times New Roman"/>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397" w:hRule="atLeast"/>
          <w:jc w:val="center"/>
        </w:trPr>
        <w:tc>
          <w:tcPr>
            <w:tcW w:w="807" w:type="dxa"/>
            <w:vMerge w:val="continue"/>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tc>
        <w:tc>
          <w:tcPr>
            <w:tcW w:w="1604" w:type="dxa"/>
            <w:vMerge w:val="continue"/>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p>
        </w:tc>
        <w:tc>
          <w:tcPr>
            <w:tcW w:w="1526" w:type="dxa"/>
            <w:vMerge w:val="continue"/>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p>
        </w:tc>
        <w:tc>
          <w:tcPr>
            <w:tcW w:w="1448" w:type="dxa"/>
            <w:shd w:val="clear" w:color="auto" w:fill="FFFFFF"/>
            <w:noWrap w:val="0"/>
            <w:vAlign w:val="center"/>
          </w:tcPr>
          <w:p>
            <w:pPr>
              <w:pageBreakBefore w:val="0"/>
              <w:kinsoku/>
              <w:wordWrap/>
              <w:overflowPunct/>
              <w:topLinePunct w:val="0"/>
              <w:autoSpaceDE/>
              <w:autoSpaceDN/>
              <w:bidi w:val="0"/>
              <w:spacing w:before="71" w:line="560" w:lineRule="exact"/>
              <w:jc w:val="center"/>
              <w:textAlignment w:val="auto"/>
              <w:rPr>
                <w:rFonts w:ascii="Times New Roman" w:hAnsi="Times New Roman"/>
                <w:highlight w:val="none"/>
              </w:rPr>
            </w:pPr>
            <w:r>
              <w:rPr>
                <w:rFonts w:hint="eastAsia" w:ascii="仿宋" w:hAnsi="仿宋" w:eastAsia="仿宋" w:cs="仿宋"/>
                <w:spacing w:val="2"/>
                <w:sz w:val="22"/>
                <w:szCs w:val="22"/>
                <w:highlight w:val="none"/>
              </w:rPr>
              <w:t>成员中1/3</w:t>
            </w:r>
          </w:p>
        </w:tc>
        <w:tc>
          <w:tcPr>
            <w:tcW w:w="1570" w:type="dxa"/>
            <w:shd w:val="clear" w:color="auto" w:fill="FFFFFF"/>
            <w:noWrap w:val="0"/>
            <w:vAlign w:val="center"/>
          </w:tcPr>
          <w:p>
            <w:pPr>
              <w:pageBreakBefore w:val="0"/>
              <w:kinsoku/>
              <w:wordWrap/>
              <w:overflowPunct/>
              <w:topLinePunct w:val="0"/>
              <w:autoSpaceDE/>
              <w:autoSpaceDN/>
              <w:bidi w:val="0"/>
              <w:spacing w:before="115" w:line="560" w:lineRule="exact"/>
              <w:ind w:left="661"/>
              <w:textAlignment w:val="auto"/>
              <w:rPr>
                <w:rFonts w:ascii="Times New Roman" w:hAnsi="Times New Roman"/>
                <w:highlight w:val="none"/>
              </w:rPr>
            </w:pPr>
            <w:r>
              <w:rPr>
                <w:rFonts w:hint="eastAsia" w:ascii="仿宋" w:hAnsi="仿宋" w:eastAsia="仿宋" w:cs="仿宋"/>
                <w:spacing w:val="-15"/>
                <w:sz w:val="22"/>
                <w:szCs w:val="22"/>
                <w:highlight w:val="none"/>
              </w:rPr>
              <w:t>30</w:t>
            </w:r>
          </w:p>
        </w:tc>
        <w:tc>
          <w:tcPr>
            <w:tcW w:w="1579" w:type="dxa"/>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Times New Roman" w:hAnsi="Times New Roman"/>
                <w:highlight w:val="none"/>
              </w:rPr>
              <w:t>——</w:t>
            </w:r>
          </w:p>
        </w:tc>
        <w:tc>
          <w:tcPr>
            <w:tcW w:w="1584" w:type="dxa"/>
            <w:gridSpan w:val="3"/>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Times New Roman" w:hAnsi="Times New Roman"/>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07" w:type="dxa"/>
            <w:vMerge w:val="continue"/>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tc>
        <w:tc>
          <w:tcPr>
            <w:tcW w:w="1604" w:type="dxa"/>
            <w:vMerge w:val="continue"/>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p>
        </w:tc>
        <w:tc>
          <w:tcPr>
            <w:tcW w:w="1526" w:type="dxa"/>
            <w:vMerge w:val="continue"/>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p>
        </w:tc>
        <w:tc>
          <w:tcPr>
            <w:tcW w:w="1448" w:type="dxa"/>
            <w:shd w:val="clear" w:color="auto" w:fill="FFFFFF"/>
            <w:noWrap w:val="0"/>
            <w:vAlign w:val="center"/>
          </w:tcPr>
          <w:p>
            <w:pPr>
              <w:pageBreakBefore w:val="0"/>
              <w:kinsoku/>
              <w:wordWrap/>
              <w:overflowPunct/>
              <w:topLinePunct w:val="0"/>
              <w:autoSpaceDE/>
              <w:autoSpaceDN/>
              <w:bidi w:val="0"/>
              <w:spacing w:before="71" w:line="560" w:lineRule="exact"/>
              <w:jc w:val="center"/>
              <w:textAlignment w:val="auto"/>
              <w:rPr>
                <w:rFonts w:ascii="Times New Roman" w:hAnsi="Times New Roman"/>
                <w:highlight w:val="none"/>
              </w:rPr>
            </w:pPr>
            <w:r>
              <w:rPr>
                <w:rFonts w:hint="eastAsia" w:ascii="仿宋" w:hAnsi="仿宋" w:eastAsia="仿宋" w:cs="仿宋"/>
                <w:spacing w:val="2"/>
                <w:sz w:val="22"/>
                <w:szCs w:val="22"/>
                <w:highlight w:val="none"/>
              </w:rPr>
              <w:t>成员后1/3</w:t>
            </w:r>
          </w:p>
        </w:tc>
        <w:tc>
          <w:tcPr>
            <w:tcW w:w="1570" w:type="dxa"/>
            <w:shd w:val="clear" w:color="auto" w:fill="FFFFFF"/>
            <w:noWrap w:val="0"/>
            <w:vAlign w:val="center"/>
          </w:tcPr>
          <w:p>
            <w:pPr>
              <w:pageBreakBefore w:val="0"/>
              <w:kinsoku/>
              <w:wordWrap/>
              <w:overflowPunct/>
              <w:topLinePunct w:val="0"/>
              <w:autoSpaceDE/>
              <w:autoSpaceDN/>
              <w:bidi w:val="0"/>
              <w:spacing w:before="115" w:line="560" w:lineRule="exact"/>
              <w:ind w:left="661"/>
              <w:textAlignment w:val="auto"/>
              <w:rPr>
                <w:rFonts w:ascii="Times New Roman" w:hAnsi="Times New Roman"/>
                <w:highlight w:val="none"/>
              </w:rPr>
            </w:pPr>
            <w:r>
              <w:rPr>
                <w:rFonts w:hint="eastAsia" w:ascii="仿宋" w:hAnsi="仿宋" w:eastAsia="仿宋" w:cs="仿宋"/>
                <w:spacing w:val="-15"/>
                <w:sz w:val="22"/>
                <w:szCs w:val="22"/>
                <w:highlight w:val="none"/>
              </w:rPr>
              <w:t>27</w:t>
            </w:r>
          </w:p>
        </w:tc>
        <w:tc>
          <w:tcPr>
            <w:tcW w:w="1579" w:type="dxa"/>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Times New Roman" w:hAnsi="Times New Roman"/>
                <w:highlight w:val="none"/>
              </w:rPr>
              <w:t>——</w:t>
            </w:r>
          </w:p>
        </w:tc>
        <w:tc>
          <w:tcPr>
            <w:tcW w:w="1584" w:type="dxa"/>
            <w:gridSpan w:val="3"/>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Times New Roman" w:hAnsi="Times New Roman"/>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07" w:type="dxa"/>
            <w:vMerge w:val="continue"/>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tc>
        <w:tc>
          <w:tcPr>
            <w:tcW w:w="1604" w:type="dxa"/>
            <w:vMerge w:val="continue"/>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p>
        </w:tc>
        <w:tc>
          <w:tcPr>
            <w:tcW w:w="1526" w:type="dxa"/>
            <w:vMerge w:val="restart"/>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Times New Roman" w:hAnsi="Times New Roman"/>
                <w:highlight w:val="none"/>
              </w:rPr>
              <w:t>一等奖</w:t>
            </w:r>
          </w:p>
        </w:tc>
        <w:tc>
          <w:tcPr>
            <w:tcW w:w="1448" w:type="dxa"/>
            <w:shd w:val="clear" w:color="auto" w:fill="FFFFFF"/>
            <w:noWrap w:val="0"/>
            <w:vAlign w:val="center"/>
          </w:tcPr>
          <w:p>
            <w:pPr>
              <w:pageBreakBefore w:val="0"/>
              <w:kinsoku/>
              <w:wordWrap/>
              <w:overflowPunct/>
              <w:topLinePunct w:val="0"/>
              <w:autoSpaceDE/>
              <w:autoSpaceDN/>
              <w:bidi w:val="0"/>
              <w:spacing w:before="61" w:line="560" w:lineRule="exact"/>
              <w:jc w:val="center"/>
              <w:textAlignment w:val="auto"/>
              <w:rPr>
                <w:rFonts w:ascii="Times New Roman" w:hAnsi="Times New Roman"/>
                <w:highlight w:val="none"/>
              </w:rPr>
            </w:pPr>
            <w:r>
              <w:rPr>
                <w:rFonts w:hint="eastAsia" w:ascii="仿宋" w:hAnsi="仿宋" w:eastAsia="仿宋" w:cs="仿宋"/>
                <w:b/>
                <w:bCs/>
                <w:spacing w:val="2"/>
                <w:sz w:val="24"/>
                <w:highlight w:val="none"/>
              </w:rPr>
              <w:t>负</w:t>
            </w:r>
            <w:r>
              <w:rPr>
                <w:rFonts w:hint="eastAsia" w:ascii="仿宋" w:hAnsi="仿宋" w:eastAsia="仿宋" w:cs="仿宋"/>
                <w:b/>
                <w:bCs/>
                <w:spacing w:val="1"/>
                <w:sz w:val="24"/>
                <w:highlight w:val="none"/>
              </w:rPr>
              <w:t>责人</w:t>
            </w:r>
          </w:p>
        </w:tc>
        <w:tc>
          <w:tcPr>
            <w:tcW w:w="1570" w:type="dxa"/>
            <w:shd w:val="clear" w:color="auto" w:fill="FFFFFF"/>
            <w:noWrap w:val="0"/>
            <w:vAlign w:val="center"/>
          </w:tcPr>
          <w:p>
            <w:pPr>
              <w:pageBreakBefore w:val="0"/>
              <w:kinsoku/>
              <w:wordWrap/>
              <w:overflowPunct/>
              <w:topLinePunct w:val="0"/>
              <w:autoSpaceDE/>
              <w:autoSpaceDN/>
              <w:bidi w:val="0"/>
              <w:spacing w:before="116" w:line="560" w:lineRule="exact"/>
              <w:ind w:left="661"/>
              <w:textAlignment w:val="auto"/>
              <w:rPr>
                <w:rFonts w:ascii="Times New Roman" w:hAnsi="Times New Roman"/>
                <w:highlight w:val="none"/>
              </w:rPr>
            </w:pPr>
            <w:r>
              <w:rPr>
                <w:rFonts w:hint="eastAsia" w:ascii="仿宋" w:hAnsi="仿宋" w:eastAsia="仿宋" w:cs="仿宋"/>
                <w:b/>
                <w:bCs/>
                <w:spacing w:val="-15"/>
                <w:sz w:val="24"/>
                <w:highlight w:val="none"/>
              </w:rPr>
              <w:t>30</w:t>
            </w:r>
          </w:p>
        </w:tc>
        <w:tc>
          <w:tcPr>
            <w:tcW w:w="1579" w:type="dxa"/>
            <w:shd w:val="clear" w:color="auto" w:fill="FFFFFF"/>
            <w:noWrap w:val="0"/>
            <w:vAlign w:val="center"/>
          </w:tcPr>
          <w:p>
            <w:pPr>
              <w:pageBreakBefore w:val="0"/>
              <w:kinsoku/>
              <w:wordWrap/>
              <w:overflowPunct/>
              <w:topLinePunct w:val="0"/>
              <w:autoSpaceDE/>
              <w:autoSpaceDN/>
              <w:bidi w:val="0"/>
              <w:spacing w:before="116" w:line="560" w:lineRule="exact"/>
              <w:jc w:val="center"/>
              <w:textAlignment w:val="auto"/>
              <w:rPr>
                <w:rFonts w:ascii="Times New Roman" w:hAnsi="Times New Roman"/>
                <w:highlight w:val="none"/>
              </w:rPr>
            </w:pPr>
            <w:r>
              <w:rPr>
                <w:rFonts w:hint="eastAsia" w:ascii="仿宋" w:hAnsi="仿宋" w:eastAsia="仿宋" w:cs="仿宋"/>
                <w:b/>
                <w:bCs/>
                <w:spacing w:val="-15"/>
                <w:sz w:val="24"/>
                <w:highlight w:val="none"/>
              </w:rPr>
              <w:t>20</w:t>
            </w:r>
          </w:p>
        </w:tc>
        <w:tc>
          <w:tcPr>
            <w:tcW w:w="1584" w:type="dxa"/>
            <w:gridSpan w:val="3"/>
            <w:shd w:val="clear" w:color="auto" w:fill="FFFFFF"/>
            <w:noWrap w:val="0"/>
            <w:vAlign w:val="center"/>
          </w:tcPr>
          <w:p>
            <w:pPr>
              <w:pageBreakBefore w:val="0"/>
              <w:kinsoku/>
              <w:wordWrap/>
              <w:overflowPunct/>
              <w:topLinePunct w:val="0"/>
              <w:autoSpaceDE/>
              <w:autoSpaceDN/>
              <w:bidi w:val="0"/>
              <w:spacing w:before="121" w:line="560" w:lineRule="exact"/>
              <w:jc w:val="center"/>
              <w:textAlignment w:val="auto"/>
              <w:rPr>
                <w:rFonts w:ascii="Times New Roman" w:hAnsi="Times New Roman"/>
                <w:highlight w:val="none"/>
              </w:rPr>
            </w:pPr>
            <w:r>
              <w:rPr>
                <w:rFonts w:hint="eastAsia" w:ascii="仿宋" w:hAnsi="仿宋" w:eastAsia="仿宋" w:cs="仿宋"/>
                <w:b/>
                <w:bCs/>
                <w:sz w:val="24"/>
                <w:highlight w:val="none"/>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07" w:type="dxa"/>
            <w:vMerge w:val="continue"/>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tc>
        <w:tc>
          <w:tcPr>
            <w:tcW w:w="1604" w:type="dxa"/>
            <w:vMerge w:val="continue"/>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p>
        </w:tc>
        <w:tc>
          <w:tcPr>
            <w:tcW w:w="1526" w:type="dxa"/>
            <w:vMerge w:val="continue"/>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p>
        </w:tc>
        <w:tc>
          <w:tcPr>
            <w:tcW w:w="1448" w:type="dxa"/>
            <w:shd w:val="clear" w:color="auto" w:fill="FFFFFF"/>
            <w:noWrap w:val="0"/>
            <w:vAlign w:val="center"/>
          </w:tcPr>
          <w:p>
            <w:pPr>
              <w:pageBreakBefore w:val="0"/>
              <w:kinsoku/>
              <w:wordWrap/>
              <w:overflowPunct/>
              <w:topLinePunct w:val="0"/>
              <w:autoSpaceDE/>
              <w:autoSpaceDN/>
              <w:bidi w:val="0"/>
              <w:spacing w:before="71" w:line="560" w:lineRule="exact"/>
              <w:jc w:val="center"/>
              <w:textAlignment w:val="auto"/>
              <w:rPr>
                <w:rFonts w:ascii="Times New Roman" w:hAnsi="Times New Roman"/>
                <w:highlight w:val="none"/>
              </w:rPr>
            </w:pPr>
            <w:r>
              <w:rPr>
                <w:rFonts w:hint="eastAsia" w:ascii="仿宋" w:hAnsi="仿宋" w:eastAsia="仿宋" w:cs="仿宋"/>
                <w:spacing w:val="2"/>
                <w:sz w:val="22"/>
                <w:szCs w:val="22"/>
                <w:highlight w:val="none"/>
              </w:rPr>
              <w:t>成员前1/3</w:t>
            </w:r>
          </w:p>
        </w:tc>
        <w:tc>
          <w:tcPr>
            <w:tcW w:w="1570" w:type="dxa"/>
            <w:shd w:val="clear" w:color="auto" w:fill="FFFFFF"/>
            <w:noWrap w:val="0"/>
            <w:vAlign w:val="center"/>
          </w:tcPr>
          <w:p>
            <w:pPr>
              <w:pageBreakBefore w:val="0"/>
              <w:kinsoku/>
              <w:wordWrap/>
              <w:overflowPunct/>
              <w:topLinePunct w:val="0"/>
              <w:autoSpaceDE/>
              <w:autoSpaceDN/>
              <w:bidi w:val="0"/>
              <w:spacing w:before="115" w:line="560" w:lineRule="exact"/>
              <w:jc w:val="center"/>
              <w:textAlignment w:val="auto"/>
              <w:rPr>
                <w:rFonts w:ascii="Times New Roman" w:hAnsi="Times New Roman"/>
                <w:highlight w:val="none"/>
              </w:rPr>
            </w:pPr>
            <w:r>
              <w:rPr>
                <w:rFonts w:hint="eastAsia" w:ascii="仿宋" w:hAnsi="仿宋" w:eastAsia="仿宋" w:cs="仿宋"/>
                <w:sz w:val="22"/>
                <w:szCs w:val="22"/>
                <w:highlight w:val="none"/>
              </w:rPr>
              <w:t>25</w:t>
            </w:r>
          </w:p>
        </w:tc>
        <w:tc>
          <w:tcPr>
            <w:tcW w:w="1579" w:type="dxa"/>
            <w:shd w:val="clear" w:color="auto" w:fill="FFFFFF"/>
            <w:noWrap w:val="0"/>
            <w:vAlign w:val="center"/>
          </w:tcPr>
          <w:p>
            <w:pPr>
              <w:pageBreakBefore w:val="0"/>
              <w:kinsoku/>
              <w:wordWrap/>
              <w:overflowPunct/>
              <w:topLinePunct w:val="0"/>
              <w:autoSpaceDE/>
              <w:autoSpaceDN/>
              <w:bidi w:val="0"/>
              <w:spacing w:before="120" w:line="560" w:lineRule="exact"/>
              <w:jc w:val="center"/>
              <w:textAlignment w:val="auto"/>
              <w:rPr>
                <w:rFonts w:ascii="Times New Roman" w:hAnsi="Times New Roman"/>
                <w:highlight w:val="none"/>
              </w:rPr>
            </w:pPr>
            <w:r>
              <w:rPr>
                <w:rFonts w:hint="eastAsia" w:ascii="仿宋" w:hAnsi="仿宋" w:eastAsia="仿宋" w:cs="仿宋"/>
                <w:sz w:val="22"/>
                <w:szCs w:val="22"/>
                <w:highlight w:val="none"/>
              </w:rPr>
              <w:t>15</w:t>
            </w:r>
          </w:p>
        </w:tc>
        <w:tc>
          <w:tcPr>
            <w:tcW w:w="1584" w:type="dxa"/>
            <w:gridSpan w:val="3"/>
            <w:shd w:val="clear" w:color="auto" w:fill="FFFFFF"/>
            <w:noWrap w:val="0"/>
            <w:vAlign w:val="center"/>
          </w:tcPr>
          <w:p>
            <w:pPr>
              <w:pageBreakBefore w:val="0"/>
              <w:kinsoku/>
              <w:wordWrap/>
              <w:overflowPunct/>
              <w:topLinePunct w:val="0"/>
              <w:autoSpaceDE/>
              <w:autoSpaceDN/>
              <w:bidi w:val="0"/>
              <w:spacing w:before="115" w:line="560" w:lineRule="exact"/>
              <w:jc w:val="center"/>
              <w:textAlignment w:val="auto"/>
              <w:rPr>
                <w:rFonts w:ascii="Times New Roman" w:hAnsi="Times New Roman"/>
                <w:highlight w:val="none"/>
              </w:rPr>
            </w:pPr>
            <w:r>
              <w:rPr>
                <w:rFonts w:hint="eastAsia" w:ascii="仿宋" w:hAnsi="仿宋" w:eastAsia="仿宋" w:cs="仿宋"/>
                <w:spacing w:val="6"/>
                <w:sz w:val="22"/>
                <w:szCs w:val="22"/>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397" w:hRule="atLeast"/>
          <w:jc w:val="center"/>
        </w:trPr>
        <w:tc>
          <w:tcPr>
            <w:tcW w:w="807" w:type="dxa"/>
            <w:vMerge w:val="continue"/>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tc>
        <w:tc>
          <w:tcPr>
            <w:tcW w:w="1604" w:type="dxa"/>
            <w:vMerge w:val="continue"/>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p>
        </w:tc>
        <w:tc>
          <w:tcPr>
            <w:tcW w:w="1526" w:type="dxa"/>
            <w:vMerge w:val="continue"/>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p>
        </w:tc>
        <w:tc>
          <w:tcPr>
            <w:tcW w:w="1448" w:type="dxa"/>
            <w:shd w:val="clear" w:color="auto" w:fill="FFFFFF"/>
            <w:noWrap w:val="0"/>
            <w:vAlign w:val="center"/>
          </w:tcPr>
          <w:p>
            <w:pPr>
              <w:pageBreakBefore w:val="0"/>
              <w:kinsoku/>
              <w:wordWrap/>
              <w:overflowPunct/>
              <w:topLinePunct w:val="0"/>
              <w:autoSpaceDE/>
              <w:autoSpaceDN/>
              <w:bidi w:val="0"/>
              <w:spacing w:before="71" w:line="560" w:lineRule="exact"/>
              <w:jc w:val="center"/>
              <w:textAlignment w:val="auto"/>
              <w:rPr>
                <w:rFonts w:ascii="Times New Roman" w:hAnsi="Times New Roman"/>
                <w:highlight w:val="none"/>
              </w:rPr>
            </w:pPr>
            <w:r>
              <w:rPr>
                <w:rFonts w:hint="eastAsia" w:ascii="仿宋" w:hAnsi="仿宋" w:eastAsia="仿宋" w:cs="仿宋"/>
                <w:spacing w:val="2"/>
                <w:sz w:val="22"/>
                <w:szCs w:val="22"/>
                <w:highlight w:val="none"/>
              </w:rPr>
              <w:t>成员中1/3</w:t>
            </w:r>
          </w:p>
        </w:tc>
        <w:tc>
          <w:tcPr>
            <w:tcW w:w="1570" w:type="dxa"/>
            <w:shd w:val="clear" w:color="auto" w:fill="FFFFFF"/>
            <w:noWrap w:val="0"/>
            <w:vAlign w:val="center"/>
          </w:tcPr>
          <w:p>
            <w:pPr>
              <w:pageBreakBefore w:val="0"/>
              <w:kinsoku/>
              <w:wordWrap/>
              <w:overflowPunct/>
              <w:topLinePunct w:val="0"/>
              <w:autoSpaceDE/>
              <w:autoSpaceDN/>
              <w:bidi w:val="0"/>
              <w:spacing w:before="115" w:line="560" w:lineRule="exact"/>
              <w:jc w:val="center"/>
              <w:textAlignment w:val="auto"/>
              <w:rPr>
                <w:rFonts w:ascii="Times New Roman" w:hAnsi="Times New Roman"/>
                <w:highlight w:val="none"/>
              </w:rPr>
            </w:pPr>
            <w:r>
              <w:rPr>
                <w:rFonts w:hint="eastAsia" w:ascii="仿宋" w:hAnsi="仿宋" w:eastAsia="仿宋" w:cs="仿宋"/>
                <w:sz w:val="22"/>
                <w:szCs w:val="22"/>
                <w:highlight w:val="none"/>
              </w:rPr>
              <w:t>20</w:t>
            </w:r>
          </w:p>
        </w:tc>
        <w:tc>
          <w:tcPr>
            <w:tcW w:w="1579" w:type="dxa"/>
            <w:shd w:val="clear" w:color="auto" w:fill="FFFFFF"/>
            <w:noWrap w:val="0"/>
            <w:vAlign w:val="center"/>
          </w:tcPr>
          <w:p>
            <w:pPr>
              <w:pageBreakBefore w:val="0"/>
              <w:kinsoku/>
              <w:wordWrap/>
              <w:overflowPunct/>
              <w:topLinePunct w:val="0"/>
              <w:autoSpaceDE/>
              <w:autoSpaceDN/>
              <w:bidi w:val="0"/>
              <w:spacing w:before="120" w:line="560" w:lineRule="exact"/>
              <w:jc w:val="center"/>
              <w:textAlignment w:val="auto"/>
              <w:rPr>
                <w:rFonts w:ascii="Times New Roman" w:hAnsi="Times New Roman"/>
                <w:highlight w:val="none"/>
              </w:rPr>
            </w:pPr>
            <w:r>
              <w:rPr>
                <w:rFonts w:hint="eastAsia" w:ascii="仿宋" w:hAnsi="仿宋" w:eastAsia="仿宋" w:cs="仿宋"/>
                <w:sz w:val="22"/>
                <w:szCs w:val="22"/>
                <w:highlight w:val="none"/>
              </w:rPr>
              <w:t>10</w:t>
            </w:r>
          </w:p>
        </w:tc>
        <w:tc>
          <w:tcPr>
            <w:tcW w:w="1584" w:type="dxa"/>
            <w:gridSpan w:val="3"/>
            <w:shd w:val="clear" w:color="auto" w:fill="FFFFFF"/>
            <w:noWrap w:val="0"/>
            <w:vAlign w:val="center"/>
          </w:tcPr>
          <w:p>
            <w:pPr>
              <w:pageBreakBefore w:val="0"/>
              <w:kinsoku/>
              <w:wordWrap/>
              <w:overflowPunct/>
              <w:topLinePunct w:val="0"/>
              <w:autoSpaceDE/>
              <w:autoSpaceDN/>
              <w:bidi w:val="0"/>
              <w:spacing w:before="115" w:line="560" w:lineRule="exact"/>
              <w:jc w:val="center"/>
              <w:textAlignment w:val="auto"/>
              <w:rPr>
                <w:rFonts w:ascii="Times New Roman" w:hAnsi="Times New Roman"/>
                <w:highlight w:val="none"/>
              </w:rPr>
            </w:pPr>
            <w:r>
              <w:rPr>
                <w:rFonts w:hint="eastAsia" w:ascii="仿宋" w:hAnsi="仿宋" w:eastAsia="仿宋" w:cs="仿宋"/>
                <w:spacing w:val="6"/>
                <w:sz w:val="22"/>
                <w:szCs w:val="22"/>
                <w:highlight w:val="none"/>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07" w:type="dxa"/>
            <w:vMerge w:val="continue"/>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tc>
        <w:tc>
          <w:tcPr>
            <w:tcW w:w="1604" w:type="dxa"/>
            <w:vMerge w:val="continue"/>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p>
        </w:tc>
        <w:tc>
          <w:tcPr>
            <w:tcW w:w="1526" w:type="dxa"/>
            <w:vMerge w:val="continue"/>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p>
        </w:tc>
        <w:tc>
          <w:tcPr>
            <w:tcW w:w="1448" w:type="dxa"/>
            <w:shd w:val="clear" w:color="auto" w:fill="FFFFFF"/>
            <w:noWrap w:val="0"/>
            <w:vAlign w:val="center"/>
          </w:tcPr>
          <w:p>
            <w:pPr>
              <w:pageBreakBefore w:val="0"/>
              <w:kinsoku/>
              <w:wordWrap/>
              <w:overflowPunct/>
              <w:topLinePunct w:val="0"/>
              <w:autoSpaceDE/>
              <w:autoSpaceDN/>
              <w:bidi w:val="0"/>
              <w:spacing w:before="71" w:line="560" w:lineRule="exact"/>
              <w:jc w:val="center"/>
              <w:textAlignment w:val="auto"/>
              <w:rPr>
                <w:rFonts w:ascii="Times New Roman" w:hAnsi="Times New Roman"/>
                <w:highlight w:val="none"/>
              </w:rPr>
            </w:pPr>
            <w:r>
              <w:rPr>
                <w:rFonts w:hint="eastAsia" w:ascii="仿宋" w:hAnsi="仿宋" w:eastAsia="仿宋" w:cs="仿宋"/>
                <w:spacing w:val="2"/>
                <w:sz w:val="22"/>
                <w:szCs w:val="22"/>
                <w:highlight w:val="none"/>
              </w:rPr>
              <w:t>成员后1/3</w:t>
            </w:r>
          </w:p>
        </w:tc>
        <w:tc>
          <w:tcPr>
            <w:tcW w:w="1570" w:type="dxa"/>
            <w:shd w:val="clear" w:color="auto" w:fill="FFFFFF"/>
            <w:noWrap w:val="0"/>
            <w:vAlign w:val="center"/>
          </w:tcPr>
          <w:p>
            <w:pPr>
              <w:pageBreakBefore w:val="0"/>
              <w:kinsoku/>
              <w:wordWrap/>
              <w:overflowPunct/>
              <w:topLinePunct w:val="0"/>
              <w:autoSpaceDE/>
              <w:autoSpaceDN/>
              <w:bidi w:val="0"/>
              <w:spacing w:before="115" w:line="560" w:lineRule="exact"/>
              <w:jc w:val="center"/>
              <w:textAlignment w:val="auto"/>
              <w:rPr>
                <w:rFonts w:ascii="Times New Roman" w:hAnsi="Times New Roman"/>
                <w:highlight w:val="none"/>
              </w:rPr>
            </w:pPr>
            <w:r>
              <w:rPr>
                <w:rFonts w:hint="eastAsia" w:ascii="仿宋" w:hAnsi="仿宋" w:eastAsia="仿宋" w:cs="仿宋"/>
                <w:sz w:val="22"/>
                <w:szCs w:val="22"/>
                <w:highlight w:val="none"/>
              </w:rPr>
              <w:t>15</w:t>
            </w:r>
          </w:p>
        </w:tc>
        <w:tc>
          <w:tcPr>
            <w:tcW w:w="1579" w:type="dxa"/>
            <w:shd w:val="clear" w:color="auto" w:fill="FFFFFF"/>
            <w:noWrap w:val="0"/>
            <w:vAlign w:val="center"/>
          </w:tcPr>
          <w:p>
            <w:pPr>
              <w:pageBreakBefore w:val="0"/>
              <w:kinsoku/>
              <w:wordWrap/>
              <w:overflowPunct/>
              <w:topLinePunct w:val="0"/>
              <w:autoSpaceDE/>
              <w:autoSpaceDN/>
              <w:bidi w:val="0"/>
              <w:spacing w:before="120" w:line="560" w:lineRule="exact"/>
              <w:jc w:val="center"/>
              <w:textAlignment w:val="auto"/>
              <w:rPr>
                <w:rFonts w:ascii="Times New Roman" w:hAnsi="Times New Roman"/>
                <w:highlight w:val="none"/>
              </w:rPr>
            </w:pPr>
            <w:r>
              <w:rPr>
                <w:rFonts w:hint="eastAsia" w:ascii="仿宋" w:hAnsi="仿宋" w:eastAsia="仿宋" w:cs="仿宋"/>
                <w:sz w:val="22"/>
                <w:szCs w:val="22"/>
                <w:highlight w:val="none"/>
              </w:rPr>
              <w:t>5</w:t>
            </w:r>
          </w:p>
        </w:tc>
        <w:tc>
          <w:tcPr>
            <w:tcW w:w="1584" w:type="dxa"/>
            <w:gridSpan w:val="3"/>
            <w:shd w:val="clear" w:color="auto" w:fill="FFFFFF"/>
            <w:noWrap w:val="0"/>
            <w:vAlign w:val="center"/>
          </w:tcPr>
          <w:p>
            <w:pPr>
              <w:pageBreakBefore w:val="0"/>
              <w:kinsoku/>
              <w:wordWrap/>
              <w:overflowPunct/>
              <w:topLinePunct w:val="0"/>
              <w:autoSpaceDE/>
              <w:autoSpaceDN/>
              <w:bidi w:val="0"/>
              <w:spacing w:before="115" w:line="560" w:lineRule="exact"/>
              <w:jc w:val="center"/>
              <w:textAlignment w:val="auto"/>
              <w:rPr>
                <w:rFonts w:ascii="Times New Roman" w:hAnsi="Times New Roman"/>
                <w:highlight w:val="none"/>
              </w:rPr>
            </w:pPr>
            <w:r>
              <w:rPr>
                <w:rFonts w:hint="eastAsia" w:ascii="仿宋" w:hAnsi="仿宋" w:eastAsia="仿宋" w:cs="仿宋"/>
                <w:spacing w:val="6"/>
                <w:sz w:val="22"/>
                <w:szCs w:val="22"/>
                <w:highlight w:val="none"/>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07" w:type="dxa"/>
            <w:vMerge w:val="continue"/>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tc>
        <w:tc>
          <w:tcPr>
            <w:tcW w:w="1604" w:type="dxa"/>
            <w:vMerge w:val="continue"/>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p>
        </w:tc>
        <w:tc>
          <w:tcPr>
            <w:tcW w:w="1526" w:type="dxa"/>
            <w:vMerge w:val="restart"/>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Times New Roman" w:hAnsi="Times New Roman"/>
                <w:highlight w:val="none"/>
              </w:rPr>
              <w:t>二等奖</w:t>
            </w:r>
          </w:p>
        </w:tc>
        <w:tc>
          <w:tcPr>
            <w:tcW w:w="1448" w:type="dxa"/>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仿宋" w:hAnsi="仿宋" w:eastAsia="仿宋"/>
                <w:b/>
                <w:bCs/>
                <w:spacing w:val="2"/>
                <w:sz w:val="24"/>
                <w:highlight w:val="none"/>
              </w:rPr>
              <w:t>负</w:t>
            </w:r>
            <w:r>
              <w:rPr>
                <w:rFonts w:hint="eastAsia" w:ascii="仿宋" w:hAnsi="仿宋" w:eastAsia="仿宋"/>
                <w:b/>
                <w:bCs/>
                <w:spacing w:val="1"/>
                <w:sz w:val="24"/>
                <w:highlight w:val="none"/>
              </w:rPr>
              <w:t>责人</w:t>
            </w:r>
          </w:p>
        </w:tc>
        <w:tc>
          <w:tcPr>
            <w:tcW w:w="1570" w:type="dxa"/>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仿宋" w:hAnsi="仿宋" w:eastAsia="仿宋"/>
                <w:b/>
                <w:bCs/>
                <w:spacing w:val="-15"/>
                <w:sz w:val="24"/>
                <w:highlight w:val="none"/>
              </w:rPr>
              <w:t>24</w:t>
            </w:r>
          </w:p>
        </w:tc>
        <w:tc>
          <w:tcPr>
            <w:tcW w:w="1579" w:type="dxa"/>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仿宋" w:hAnsi="仿宋" w:eastAsia="仿宋"/>
                <w:b/>
                <w:bCs/>
                <w:sz w:val="24"/>
                <w:highlight w:val="none"/>
              </w:rPr>
              <w:t>18</w:t>
            </w:r>
          </w:p>
        </w:tc>
        <w:tc>
          <w:tcPr>
            <w:tcW w:w="1584" w:type="dxa"/>
            <w:gridSpan w:val="3"/>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仿宋" w:hAnsi="仿宋" w:eastAsia="仿宋"/>
                <w:b/>
                <w:bCs/>
                <w:sz w:val="24"/>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07" w:type="dxa"/>
            <w:vMerge w:val="continue"/>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tc>
        <w:tc>
          <w:tcPr>
            <w:tcW w:w="1604" w:type="dxa"/>
            <w:vMerge w:val="continue"/>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p>
        </w:tc>
        <w:tc>
          <w:tcPr>
            <w:tcW w:w="1526" w:type="dxa"/>
            <w:vMerge w:val="continue"/>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p>
        </w:tc>
        <w:tc>
          <w:tcPr>
            <w:tcW w:w="1448" w:type="dxa"/>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仿宋" w:hAnsi="仿宋" w:eastAsia="仿宋"/>
                <w:spacing w:val="2"/>
                <w:sz w:val="22"/>
                <w:szCs w:val="22"/>
                <w:highlight w:val="none"/>
              </w:rPr>
              <w:t>成员前1/3</w:t>
            </w:r>
          </w:p>
        </w:tc>
        <w:tc>
          <w:tcPr>
            <w:tcW w:w="1570" w:type="dxa"/>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仿宋" w:hAnsi="仿宋" w:eastAsia="仿宋"/>
                <w:spacing w:val="4"/>
                <w:sz w:val="22"/>
                <w:szCs w:val="22"/>
                <w:highlight w:val="none"/>
              </w:rPr>
              <w:t>20</w:t>
            </w:r>
          </w:p>
        </w:tc>
        <w:tc>
          <w:tcPr>
            <w:tcW w:w="1579" w:type="dxa"/>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仿宋" w:hAnsi="仿宋" w:eastAsia="仿宋"/>
                <w:sz w:val="22"/>
                <w:szCs w:val="22"/>
                <w:highlight w:val="none"/>
              </w:rPr>
              <w:t>14</w:t>
            </w:r>
          </w:p>
        </w:tc>
        <w:tc>
          <w:tcPr>
            <w:tcW w:w="1584" w:type="dxa"/>
            <w:gridSpan w:val="3"/>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仿宋" w:hAnsi="仿宋" w:eastAsia="仿宋"/>
                <w:sz w:val="22"/>
                <w:szCs w:val="22"/>
                <w:highlight w:val="none"/>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397" w:hRule="atLeast"/>
          <w:jc w:val="center"/>
        </w:trPr>
        <w:tc>
          <w:tcPr>
            <w:tcW w:w="807" w:type="dxa"/>
            <w:vMerge w:val="continue"/>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tc>
        <w:tc>
          <w:tcPr>
            <w:tcW w:w="1604" w:type="dxa"/>
            <w:vMerge w:val="continue"/>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p>
        </w:tc>
        <w:tc>
          <w:tcPr>
            <w:tcW w:w="1526" w:type="dxa"/>
            <w:vMerge w:val="continue"/>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p>
        </w:tc>
        <w:tc>
          <w:tcPr>
            <w:tcW w:w="1448" w:type="dxa"/>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hint="eastAsia" w:ascii="Times New Roman" w:hAnsi="Times New Roman"/>
                <w:highlight w:val="none"/>
              </w:rPr>
            </w:pPr>
            <w:r>
              <w:rPr>
                <w:rFonts w:hint="eastAsia" w:ascii="仿宋" w:hAnsi="仿宋" w:eastAsia="仿宋"/>
                <w:spacing w:val="2"/>
                <w:sz w:val="22"/>
                <w:szCs w:val="22"/>
                <w:highlight w:val="none"/>
              </w:rPr>
              <w:t>成员中1/3</w:t>
            </w:r>
          </w:p>
        </w:tc>
        <w:tc>
          <w:tcPr>
            <w:tcW w:w="1570" w:type="dxa"/>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hint="eastAsia" w:ascii="Times New Roman" w:hAnsi="Times New Roman"/>
                <w:highlight w:val="none"/>
              </w:rPr>
            </w:pPr>
            <w:r>
              <w:rPr>
                <w:rFonts w:hint="eastAsia" w:ascii="仿宋" w:hAnsi="仿宋" w:eastAsia="仿宋"/>
                <w:spacing w:val="4"/>
                <w:sz w:val="22"/>
                <w:szCs w:val="22"/>
                <w:highlight w:val="none"/>
              </w:rPr>
              <w:t>16</w:t>
            </w:r>
          </w:p>
        </w:tc>
        <w:tc>
          <w:tcPr>
            <w:tcW w:w="1579" w:type="dxa"/>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hint="eastAsia" w:ascii="Times New Roman" w:hAnsi="Times New Roman"/>
                <w:highlight w:val="none"/>
              </w:rPr>
            </w:pPr>
            <w:r>
              <w:rPr>
                <w:rFonts w:hint="eastAsia" w:ascii="仿宋" w:hAnsi="仿宋" w:eastAsia="仿宋"/>
                <w:sz w:val="22"/>
                <w:szCs w:val="22"/>
                <w:highlight w:val="none"/>
              </w:rPr>
              <w:t>10</w:t>
            </w:r>
          </w:p>
        </w:tc>
        <w:tc>
          <w:tcPr>
            <w:tcW w:w="1584" w:type="dxa"/>
            <w:gridSpan w:val="3"/>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hint="eastAsia" w:ascii="Times New Roman" w:hAnsi="Times New Roman"/>
                <w:highlight w:val="none"/>
              </w:rPr>
            </w:pPr>
            <w:r>
              <w:rPr>
                <w:rFonts w:hint="eastAsia" w:ascii="仿宋" w:hAnsi="仿宋" w:eastAsia="仿宋"/>
                <w:sz w:val="22"/>
                <w:szCs w:val="22"/>
                <w:highlight w:val="none"/>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07" w:type="dxa"/>
            <w:vMerge w:val="continue"/>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tc>
        <w:tc>
          <w:tcPr>
            <w:tcW w:w="1604" w:type="dxa"/>
            <w:vMerge w:val="continue"/>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p>
        </w:tc>
        <w:tc>
          <w:tcPr>
            <w:tcW w:w="1526" w:type="dxa"/>
            <w:vMerge w:val="continue"/>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p>
        </w:tc>
        <w:tc>
          <w:tcPr>
            <w:tcW w:w="1448" w:type="dxa"/>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hint="eastAsia" w:ascii="Times New Roman" w:hAnsi="Times New Roman"/>
                <w:highlight w:val="none"/>
              </w:rPr>
            </w:pPr>
            <w:r>
              <w:rPr>
                <w:rFonts w:hint="eastAsia" w:ascii="仿宋" w:hAnsi="仿宋" w:eastAsia="仿宋"/>
                <w:spacing w:val="2"/>
                <w:sz w:val="22"/>
                <w:szCs w:val="22"/>
                <w:highlight w:val="none"/>
              </w:rPr>
              <w:t>成员后1/3</w:t>
            </w:r>
          </w:p>
        </w:tc>
        <w:tc>
          <w:tcPr>
            <w:tcW w:w="1570" w:type="dxa"/>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hint="eastAsia" w:ascii="Times New Roman" w:hAnsi="Times New Roman"/>
                <w:highlight w:val="none"/>
              </w:rPr>
            </w:pPr>
            <w:r>
              <w:rPr>
                <w:rFonts w:hint="eastAsia" w:ascii="仿宋" w:hAnsi="仿宋" w:eastAsia="仿宋"/>
                <w:spacing w:val="4"/>
                <w:sz w:val="22"/>
                <w:szCs w:val="22"/>
                <w:highlight w:val="none"/>
              </w:rPr>
              <w:t>12</w:t>
            </w:r>
          </w:p>
        </w:tc>
        <w:tc>
          <w:tcPr>
            <w:tcW w:w="1579" w:type="dxa"/>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hint="eastAsia" w:ascii="Times New Roman" w:hAnsi="Times New Roman"/>
                <w:highlight w:val="none"/>
              </w:rPr>
            </w:pPr>
            <w:r>
              <w:rPr>
                <w:rFonts w:hint="eastAsia" w:ascii="仿宋" w:hAnsi="仿宋" w:eastAsia="仿宋"/>
                <w:sz w:val="22"/>
                <w:szCs w:val="22"/>
                <w:highlight w:val="none"/>
              </w:rPr>
              <w:t>6</w:t>
            </w:r>
          </w:p>
        </w:tc>
        <w:tc>
          <w:tcPr>
            <w:tcW w:w="1584" w:type="dxa"/>
            <w:gridSpan w:val="3"/>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hint="eastAsia" w:ascii="Times New Roman" w:hAnsi="Times New Roman"/>
                <w:highlight w:val="none"/>
              </w:rPr>
            </w:pPr>
            <w:r>
              <w:rPr>
                <w:rFonts w:hint="eastAsia" w:ascii="仿宋" w:hAnsi="仿宋" w:eastAsia="仿宋"/>
                <w:sz w:val="22"/>
                <w:szCs w:val="22"/>
                <w:highlight w:val="none"/>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07" w:type="dxa"/>
            <w:vMerge w:val="continue"/>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tc>
        <w:tc>
          <w:tcPr>
            <w:tcW w:w="1604" w:type="dxa"/>
            <w:vMerge w:val="continue"/>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p>
        </w:tc>
        <w:tc>
          <w:tcPr>
            <w:tcW w:w="1526" w:type="dxa"/>
            <w:vMerge w:val="restart"/>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Times New Roman" w:hAnsi="Times New Roman"/>
                <w:highlight w:val="none"/>
              </w:rPr>
              <w:t>三等奖</w:t>
            </w:r>
          </w:p>
        </w:tc>
        <w:tc>
          <w:tcPr>
            <w:tcW w:w="1448" w:type="dxa"/>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仿宋" w:hAnsi="仿宋" w:eastAsia="仿宋"/>
                <w:b/>
                <w:bCs/>
                <w:spacing w:val="2"/>
                <w:sz w:val="24"/>
                <w:highlight w:val="none"/>
              </w:rPr>
              <w:t>负</w:t>
            </w:r>
            <w:r>
              <w:rPr>
                <w:rFonts w:hint="eastAsia" w:ascii="仿宋" w:hAnsi="仿宋" w:eastAsia="仿宋"/>
                <w:b/>
                <w:bCs/>
                <w:spacing w:val="1"/>
                <w:sz w:val="24"/>
                <w:highlight w:val="none"/>
              </w:rPr>
              <w:t>责人</w:t>
            </w:r>
          </w:p>
        </w:tc>
        <w:tc>
          <w:tcPr>
            <w:tcW w:w="1570" w:type="dxa"/>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p>
        </w:tc>
        <w:tc>
          <w:tcPr>
            <w:tcW w:w="1579" w:type="dxa"/>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仿宋" w:hAnsi="仿宋" w:eastAsia="仿宋"/>
                <w:b/>
                <w:bCs/>
                <w:sz w:val="24"/>
                <w:highlight w:val="none"/>
              </w:rPr>
              <w:t>10</w:t>
            </w:r>
          </w:p>
        </w:tc>
        <w:tc>
          <w:tcPr>
            <w:tcW w:w="1584" w:type="dxa"/>
            <w:gridSpan w:val="3"/>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仿宋" w:hAnsi="仿宋" w:eastAsia="仿宋"/>
                <w:b/>
                <w:bCs/>
                <w:sz w:val="24"/>
                <w:highlight w:val="none"/>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397" w:hRule="atLeast"/>
          <w:jc w:val="center"/>
        </w:trPr>
        <w:tc>
          <w:tcPr>
            <w:tcW w:w="807" w:type="dxa"/>
            <w:vMerge w:val="continue"/>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tc>
        <w:tc>
          <w:tcPr>
            <w:tcW w:w="1604" w:type="dxa"/>
            <w:vMerge w:val="continue"/>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p>
        </w:tc>
        <w:tc>
          <w:tcPr>
            <w:tcW w:w="1526" w:type="dxa"/>
            <w:vMerge w:val="continue"/>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p>
        </w:tc>
        <w:tc>
          <w:tcPr>
            <w:tcW w:w="1448" w:type="dxa"/>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仿宋" w:hAnsi="仿宋" w:eastAsia="仿宋"/>
                <w:spacing w:val="2"/>
                <w:sz w:val="22"/>
                <w:szCs w:val="22"/>
                <w:highlight w:val="none"/>
              </w:rPr>
              <w:t>成员前1/3</w:t>
            </w:r>
          </w:p>
        </w:tc>
        <w:tc>
          <w:tcPr>
            <w:tcW w:w="1570" w:type="dxa"/>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p>
        </w:tc>
        <w:tc>
          <w:tcPr>
            <w:tcW w:w="1579" w:type="dxa"/>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仿宋" w:hAnsi="仿宋" w:eastAsia="仿宋"/>
                <w:sz w:val="22"/>
                <w:szCs w:val="22"/>
                <w:highlight w:val="none"/>
              </w:rPr>
              <w:t>8</w:t>
            </w:r>
          </w:p>
        </w:tc>
        <w:tc>
          <w:tcPr>
            <w:tcW w:w="1584" w:type="dxa"/>
            <w:gridSpan w:val="3"/>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仿宋" w:hAnsi="仿宋" w:eastAsia="仿宋"/>
                <w:spacing w:val="-5"/>
                <w:sz w:val="22"/>
                <w:szCs w:val="22"/>
                <w:highlight w:val="none"/>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07" w:type="dxa"/>
            <w:vMerge w:val="continue"/>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tc>
        <w:tc>
          <w:tcPr>
            <w:tcW w:w="1604" w:type="dxa"/>
            <w:vMerge w:val="continue"/>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p>
        </w:tc>
        <w:tc>
          <w:tcPr>
            <w:tcW w:w="1526" w:type="dxa"/>
            <w:vMerge w:val="continue"/>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p>
        </w:tc>
        <w:tc>
          <w:tcPr>
            <w:tcW w:w="1448" w:type="dxa"/>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hint="eastAsia" w:ascii="Times New Roman" w:hAnsi="Times New Roman"/>
                <w:highlight w:val="none"/>
              </w:rPr>
            </w:pPr>
            <w:r>
              <w:rPr>
                <w:rFonts w:hint="eastAsia" w:ascii="仿宋" w:hAnsi="仿宋" w:eastAsia="仿宋"/>
                <w:spacing w:val="2"/>
                <w:sz w:val="22"/>
                <w:szCs w:val="22"/>
                <w:highlight w:val="none"/>
              </w:rPr>
              <w:t>成员中1/3</w:t>
            </w:r>
          </w:p>
        </w:tc>
        <w:tc>
          <w:tcPr>
            <w:tcW w:w="1570" w:type="dxa"/>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p>
        </w:tc>
        <w:tc>
          <w:tcPr>
            <w:tcW w:w="1579" w:type="dxa"/>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hint="eastAsia" w:ascii="Times New Roman" w:hAnsi="Times New Roman"/>
                <w:highlight w:val="none"/>
              </w:rPr>
            </w:pPr>
            <w:r>
              <w:rPr>
                <w:rFonts w:hint="eastAsia" w:ascii="仿宋" w:hAnsi="仿宋" w:eastAsia="仿宋"/>
                <w:sz w:val="22"/>
                <w:szCs w:val="22"/>
                <w:highlight w:val="none"/>
              </w:rPr>
              <w:t>6</w:t>
            </w:r>
          </w:p>
        </w:tc>
        <w:tc>
          <w:tcPr>
            <w:tcW w:w="1584" w:type="dxa"/>
            <w:gridSpan w:val="3"/>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hint="eastAsia" w:ascii="Times New Roman" w:hAnsi="Times New Roman"/>
                <w:highlight w:val="none"/>
              </w:rPr>
            </w:pPr>
            <w:r>
              <w:rPr>
                <w:rFonts w:hint="eastAsia" w:ascii="仿宋" w:hAnsi="仿宋" w:eastAsia="仿宋"/>
                <w:spacing w:val="-5"/>
                <w:sz w:val="22"/>
                <w:szCs w:val="22"/>
                <w:highlight w:val="none"/>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07" w:type="dxa"/>
            <w:vMerge w:val="continue"/>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tc>
        <w:tc>
          <w:tcPr>
            <w:tcW w:w="1604" w:type="dxa"/>
            <w:vMerge w:val="continue"/>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p>
        </w:tc>
        <w:tc>
          <w:tcPr>
            <w:tcW w:w="1526" w:type="dxa"/>
            <w:vMerge w:val="continue"/>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p>
        </w:tc>
        <w:tc>
          <w:tcPr>
            <w:tcW w:w="1448" w:type="dxa"/>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hint="eastAsia" w:ascii="Times New Roman" w:hAnsi="Times New Roman"/>
                <w:highlight w:val="none"/>
              </w:rPr>
            </w:pPr>
            <w:r>
              <w:rPr>
                <w:rFonts w:hint="eastAsia" w:ascii="仿宋" w:hAnsi="仿宋" w:eastAsia="仿宋"/>
                <w:spacing w:val="2"/>
                <w:sz w:val="22"/>
                <w:szCs w:val="22"/>
                <w:highlight w:val="none"/>
              </w:rPr>
              <w:t>成员后1/3</w:t>
            </w:r>
          </w:p>
        </w:tc>
        <w:tc>
          <w:tcPr>
            <w:tcW w:w="1570" w:type="dxa"/>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p>
        </w:tc>
        <w:tc>
          <w:tcPr>
            <w:tcW w:w="1579" w:type="dxa"/>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hint="eastAsia" w:ascii="Times New Roman" w:hAnsi="Times New Roman"/>
                <w:highlight w:val="none"/>
              </w:rPr>
            </w:pPr>
            <w:r>
              <w:rPr>
                <w:rFonts w:hint="eastAsia" w:ascii="仿宋" w:hAnsi="仿宋" w:eastAsia="仿宋"/>
                <w:sz w:val="22"/>
                <w:szCs w:val="22"/>
                <w:highlight w:val="none"/>
              </w:rPr>
              <w:t>4</w:t>
            </w:r>
          </w:p>
        </w:tc>
        <w:tc>
          <w:tcPr>
            <w:tcW w:w="1584" w:type="dxa"/>
            <w:gridSpan w:val="3"/>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hint="eastAsia" w:ascii="Times New Roman" w:hAnsi="Times New Roman"/>
                <w:highlight w:val="none"/>
              </w:rPr>
            </w:pPr>
            <w:r>
              <w:rPr>
                <w:rFonts w:hint="eastAsia" w:ascii="仿宋" w:hAnsi="仿宋" w:eastAsia="仿宋"/>
                <w:spacing w:val="-5"/>
                <w:sz w:val="22"/>
                <w:szCs w:val="22"/>
                <w:highlight w:val="none"/>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397" w:hRule="atLeast"/>
          <w:jc w:val="center"/>
        </w:trPr>
        <w:tc>
          <w:tcPr>
            <w:tcW w:w="807" w:type="dxa"/>
            <w:vMerge w:val="continue"/>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tc>
        <w:tc>
          <w:tcPr>
            <w:tcW w:w="1604" w:type="dxa"/>
            <w:vMerge w:val="restart"/>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Times New Roman" w:hAnsi="Times New Roman"/>
                <w:highlight w:val="none"/>
              </w:rPr>
              <w:t>教育教学改革研究与实践项目（课程思政和新文科项目）</w:t>
            </w:r>
          </w:p>
        </w:tc>
        <w:tc>
          <w:tcPr>
            <w:tcW w:w="1526" w:type="dxa"/>
            <w:vMerge w:val="restart"/>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Times New Roman" w:hAnsi="Times New Roman"/>
                <w:highlight w:val="none"/>
              </w:rPr>
              <w:t>重点项目</w:t>
            </w:r>
          </w:p>
          <w:p>
            <w:pPr>
              <w:pageBreakBefore w:val="0"/>
              <w:kinsoku/>
              <w:wordWrap/>
              <w:overflowPunct/>
              <w:topLinePunct w:val="0"/>
              <w:autoSpaceDE/>
              <w:autoSpaceDN/>
              <w:bidi w:val="0"/>
              <w:spacing w:line="560" w:lineRule="exact"/>
              <w:jc w:val="center"/>
              <w:textAlignment w:val="auto"/>
              <w:rPr>
                <w:rFonts w:hint="eastAsia" w:ascii="Times New Roman" w:hAnsi="Times New Roman"/>
                <w:highlight w:val="none"/>
              </w:rPr>
            </w:pPr>
            <w:r>
              <w:rPr>
                <w:rFonts w:hint="eastAsia" w:ascii="Times New Roman" w:hAnsi="Times New Roman"/>
                <w:highlight w:val="none"/>
              </w:rPr>
              <w:t>（立项/结项）</w:t>
            </w:r>
          </w:p>
        </w:tc>
        <w:tc>
          <w:tcPr>
            <w:tcW w:w="1448" w:type="dxa"/>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hint="eastAsia" w:ascii="Times New Roman" w:hAnsi="Times New Roman"/>
                <w:highlight w:val="none"/>
              </w:rPr>
            </w:pPr>
            <w:r>
              <w:rPr>
                <w:rFonts w:hint="eastAsia" w:ascii="Times New Roman" w:hAnsi="Times New Roman"/>
                <w:highlight w:val="none"/>
              </w:rPr>
              <w:t>负责人</w:t>
            </w:r>
          </w:p>
        </w:tc>
        <w:tc>
          <w:tcPr>
            <w:tcW w:w="1570" w:type="dxa"/>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hint="eastAsia" w:ascii="Times New Roman" w:hAnsi="Times New Roman"/>
                <w:highlight w:val="none"/>
              </w:rPr>
            </w:pPr>
            <w:r>
              <w:rPr>
                <w:rFonts w:hint="eastAsia" w:ascii="Times New Roman" w:hAnsi="Times New Roman"/>
                <w:highlight w:val="none"/>
              </w:rPr>
              <w:t>14/14</w:t>
            </w:r>
          </w:p>
        </w:tc>
        <w:tc>
          <w:tcPr>
            <w:tcW w:w="1579" w:type="dxa"/>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Times New Roman" w:hAnsi="Times New Roman"/>
                <w:highlight w:val="none"/>
              </w:rPr>
              <w:t>8/8</w:t>
            </w:r>
          </w:p>
        </w:tc>
        <w:tc>
          <w:tcPr>
            <w:tcW w:w="1584" w:type="dxa"/>
            <w:gridSpan w:val="3"/>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Times New Roman" w:hAnsi="Times New Roman"/>
                <w:highlight w:val="none"/>
              </w:rPr>
              <w:t>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07" w:type="dxa"/>
            <w:vMerge w:val="continue"/>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tc>
        <w:tc>
          <w:tcPr>
            <w:tcW w:w="1604" w:type="dxa"/>
            <w:vMerge w:val="continue"/>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p>
        </w:tc>
        <w:tc>
          <w:tcPr>
            <w:tcW w:w="1526" w:type="dxa"/>
            <w:vMerge w:val="continue"/>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p>
        </w:tc>
        <w:tc>
          <w:tcPr>
            <w:tcW w:w="1448" w:type="dxa"/>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仿宋" w:hAnsi="仿宋" w:eastAsia="仿宋"/>
                <w:spacing w:val="2"/>
                <w:sz w:val="22"/>
                <w:szCs w:val="22"/>
                <w:highlight w:val="none"/>
              </w:rPr>
              <w:t>成员前1/3</w:t>
            </w:r>
          </w:p>
        </w:tc>
        <w:tc>
          <w:tcPr>
            <w:tcW w:w="1570" w:type="dxa"/>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hint="eastAsia" w:ascii="Times New Roman" w:hAnsi="Times New Roman"/>
                <w:highlight w:val="none"/>
              </w:rPr>
            </w:pPr>
            <w:r>
              <w:rPr>
                <w:rFonts w:hint="eastAsia" w:ascii="仿宋" w:hAnsi="仿宋" w:eastAsia="仿宋"/>
                <w:sz w:val="22"/>
                <w:szCs w:val="22"/>
                <w:highlight w:val="none"/>
              </w:rPr>
              <w:t>12/12</w:t>
            </w:r>
          </w:p>
        </w:tc>
        <w:tc>
          <w:tcPr>
            <w:tcW w:w="1579" w:type="dxa"/>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hint="eastAsia" w:ascii="Times New Roman" w:hAnsi="Times New Roman"/>
                <w:highlight w:val="none"/>
              </w:rPr>
            </w:pPr>
            <w:r>
              <w:rPr>
                <w:rFonts w:hint="eastAsia" w:ascii="仿宋" w:hAnsi="仿宋" w:eastAsia="仿宋"/>
                <w:sz w:val="22"/>
                <w:szCs w:val="22"/>
                <w:highlight w:val="none"/>
              </w:rPr>
              <w:t>7/7</w:t>
            </w:r>
          </w:p>
        </w:tc>
        <w:tc>
          <w:tcPr>
            <w:tcW w:w="1584" w:type="dxa"/>
            <w:gridSpan w:val="3"/>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hint="eastAsia" w:ascii="Times New Roman" w:hAnsi="Times New Roman"/>
                <w:highlight w:val="none"/>
              </w:rPr>
            </w:pPr>
            <w:r>
              <w:rPr>
                <w:rFonts w:hint="eastAsia" w:ascii="仿宋" w:hAnsi="仿宋" w:eastAsia="仿宋"/>
                <w:sz w:val="22"/>
                <w:szCs w:val="22"/>
                <w:highlight w:val="none"/>
              </w:rPr>
              <w:t>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397" w:hRule="atLeast"/>
          <w:jc w:val="center"/>
        </w:trPr>
        <w:tc>
          <w:tcPr>
            <w:tcW w:w="807" w:type="dxa"/>
            <w:vMerge w:val="continue"/>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tc>
        <w:tc>
          <w:tcPr>
            <w:tcW w:w="1604" w:type="dxa"/>
            <w:vMerge w:val="continue"/>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p>
        </w:tc>
        <w:tc>
          <w:tcPr>
            <w:tcW w:w="1526" w:type="dxa"/>
            <w:vMerge w:val="continue"/>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p>
        </w:tc>
        <w:tc>
          <w:tcPr>
            <w:tcW w:w="1448" w:type="dxa"/>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hint="eastAsia" w:ascii="Times New Roman" w:hAnsi="Times New Roman"/>
                <w:highlight w:val="none"/>
              </w:rPr>
            </w:pPr>
            <w:r>
              <w:rPr>
                <w:rFonts w:hint="eastAsia" w:ascii="仿宋" w:hAnsi="仿宋" w:eastAsia="仿宋"/>
                <w:spacing w:val="2"/>
                <w:sz w:val="22"/>
                <w:szCs w:val="22"/>
                <w:highlight w:val="none"/>
              </w:rPr>
              <w:t>成员中1/3</w:t>
            </w:r>
          </w:p>
        </w:tc>
        <w:tc>
          <w:tcPr>
            <w:tcW w:w="1570" w:type="dxa"/>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hint="eastAsia" w:ascii="Times New Roman" w:hAnsi="Times New Roman"/>
                <w:highlight w:val="none"/>
              </w:rPr>
            </w:pPr>
            <w:r>
              <w:rPr>
                <w:rFonts w:hint="eastAsia" w:ascii="仿宋" w:hAnsi="仿宋" w:eastAsia="仿宋"/>
                <w:sz w:val="22"/>
                <w:szCs w:val="22"/>
                <w:highlight w:val="none"/>
              </w:rPr>
              <w:t>10/10</w:t>
            </w:r>
          </w:p>
        </w:tc>
        <w:tc>
          <w:tcPr>
            <w:tcW w:w="1579" w:type="dxa"/>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hint="eastAsia" w:ascii="Times New Roman" w:hAnsi="Times New Roman"/>
                <w:highlight w:val="none"/>
              </w:rPr>
            </w:pPr>
            <w:r>
              <w:rPr>
                <w:rFonts w:hint="eastAsia" w:ascii="仿宋" w:hAnsi="仿宋" w:eastAsia="仿宋"/>
                <w:sz w:val="22"/>
                <w:szCs w:val="22"/>
                <w:highlight w:val="none"/>
              </w:rPr>
              <w:t>6/6</w:t>
            </w:r>
          </w:p>
        </w:tc>
        <w:tc>
          <w:tcPr>
            <w:tcW w:w="1584" w:type="dxa"/>
            <w:gridSpan w:val="3"/>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hint="eastAsia" w:ascii="Times New Roman" w:hAnsi="Times New Roman"/>
                <w:highlight w:val="none"/>
              </w:rPr>
            </w:pPr>
            <w:r>
              <w:rPr>
                <w:rFonts w:hint="eastAsia" w:ascii="仿宋" w:hAnsi="仿宋" w:eastAsia="仿宋"/>
                <w:sz w:val="22"/>
                <w:szCs w:val="22"/>
                <w:highlight w:val="none"/>
              </w:rPr>
              <w:t>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07" w:type="dxa"/>
            <w:vMerge w:val="continue"/>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tc>
        <w:tc>
          <w:tcPr>
            <w:tcW w:w="1604" w:type="dxa"/>
            <w:vMerge w:val="continue"/>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p>
        </w:tc>
        <w:tc>
          <w:tcPr>
            <w:tcW w:w="1526" w:type="dxa"/>
            <w:vMerge w:val="continue"/>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p>
        </w:tc>
        <w:tc>
          <w:tcPr>
            <w:tcW w:w="1448" w:type="dxa"/>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hint="eastAsia" w:ascii="Times New Roman" w:hAnsi="Times New Roman"/>
                <w:highlight w:val="none"/>
              </w:rPr>
            </w:pPr>
            <w:r>
              <w:rPr>
                <w:rFonts w:hint="eastAsia" w:ascii="仿宋" w:hAnsi="仿宋" w:eastAsia="仿宋"/>
                <w:spacing w:val="2"/>
                <w:sz w:val="22"/>
                <w:szCs w:val="22"/>
                <w:highlight w:val="none"/>
              </w:rPr>
              <w:t>成员后1/3</w:t>
            </w:r>
          </w:p>
        </w:tc>
        <w:tc>
          <w:tcPr>
            <w:tcW w:w="1570" w:type="dxa"/>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hint="eastAsia" w:ascii="Times New Roman" w:hAnsi="Times New Roman"/>
                <w:highlight w:val="none"/>
              </w:rPr>
            </w:pPr>
            <w:r>
              <w:rPr>
                <w:rFonts w:hint="eastAsia" w:ascii="仿宋" w:hAnsi="仿宋" w:eastAsia="仿宋"/>
                <w:sz w:val="22"/>
                <w:szCs w:val="22"/>
                <w:highlight w:val="none"/>
              </w:rPr>
              <w:t>9/9</w:t>
            </w:r>
          </w:p>
        </w:tc>
        <w:tc>
          <w:tcPr>
            <w:tcW w:w="1579" w:type="dxa"/>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hint="eastAsia" w:ascii="Times New Roman" w:hAnsi="Times New Roman"/>
                <w:highlight w:val="none"/>
              </w:rPr>
            </w:pPr>
            <w:r>
              <w:rPr>
                <w:rFonts w:hint="eastAsia" w:ascii="仿宋" w:hAnsi="仿宋" w:eastAsia="仿宋"/>
                <w:sz w:val="22"/>
                <w:szCs w:val="22"/>
                <w:highlight w:val="none"/>
              </w:rPr>
              <w:t>5/5</w:t>
            </w:r>
          </w:p>
        </w:tc>
        <w:tc>
          <w:tcPr>
            <w:tcW w:w="1584" w:type="dxa"/>
            <w:gridSpan w:val="3"/>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hint="eastAsia" w:ascii="Times New Roman" w:hAnsi="Times New Roman"/>
                <w:highlight w:val="none"/>
              </w:rPr>
            </w:pPr>
            <w:r>
              <w:rPr>
                <w:rFonts w:hint="eastAsia" w:ascii="仿宋" w:hAnsi="仿宋" w:eastAsia="仿宋"/>
                <w:sz w:val="22"/>
                <w:szCs w:val="22"/>
                <w:highlight w:val="none"/>
              </w:rPr>
              <w:t>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07" w:type="dxa"/>
            <w:vMerge w:val="continue"/>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tc>
        <w:tc>
          <w:tcPr>
            <w:tcW w:w="1604" w:type="dxa"/>
            <w:vMerge w:val="continue"/>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p>
        </w:tc>
        <w:tc>
          <w:tcPr>
            <w:tcW w:w="1526" w:type="dxa"/>
            <w:vMerge w:val="restart"/>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Times New Roman" w:hAnsi="Times New Roman"/>
                <w:highlight w:val="none"/>
              </w:rPr>
              <w:t>一般项目</w:t>
            </w:r>
          </w:p>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Times New Roman" w:hAnsi="Times New Roman"/>
                <w:highlight w:val="none"/>
              </w:rPr>
              <w:t>（立项/结项）</w:t>
            </w:r>
          </w:p>
        </w:tc>
        <w:tc>
          <w:tcPr>
            <w:tcW w:w="1448" w:type="dxa"/>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b/>
                <w:bCs/>
                <w:highlight w:val="none"/>
              </w:rPr>
            </w:pPr>
            <w:r>
              <w:rPr>
                <w:rFonts w:hint="eastAsia" w:ascii="Times New Roman" w:hAnsi="Times New Roman"/>
                <w:b/>
                <w:bCs/>
                <w:highlight w:val="none"/>
              </w:rPr>
              <w:t>负责人</w:t>
            </w:r>
          </w:p>
        </w:tc>
        <w:tc>
          <w:tcPr>
            <w:tcW w:w="1570" w:type="dxa"/>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hint="eastAsia" w:ascii="Times New Roman" w:hAnsi="Times New Roman"/>
                <w:b/>
                <w:bCs/>
                <w:highlight w:val="none"/>
              </w:rPr>
            </w:pPr>
            <w:r>
              <w:rPr>
                <w:rFonts w:hint="eastAsia" w:ascii="Times New Roman" w:hAnsi="Times New Roman"/>
                <w:b/>
                <w:bCs/>
                <w:highlight w:val="none"/>
              </w:rPr>
              <w:t>12/12</w:t>
            </w:r>
          </w:p>
        </w:tc>
        <w:tc>
          <w:tcPr>
            <w:tcW w:w="1579" w:type="dxa"/>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b/>
                <w:bCs/>
                <w:highlight w:val="none"/>
              </w:rPr>
            </w:pPr>
            <w:r>
              <w:rPr>
                <w:rFonts w:hint="eastAsia" w:ascii="Times New Roman" w:hAnsi="Times New Roman"/>
                <w:b/>
                <w:bCs/>
                <w:highlight w:val="none"/>
              </w:rPr>
              <w:t>6/6</w:t>
            </w:r>
          </w:p>
        </w:tc>
        <w:tc>
          <w:tcPr>
            <w:tcW w:w="1584" w:type="dxa"/>
            <w:gridSpan w:val="3"/>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b/>
                <w:bCs/>
                <w:highlight w:val="none"/>
              </w:rPr>
            </w:pPr>
            <w:r>
              <w:rPr>
                <w:rFonts w:hint="eastAsia" w:ascii="Times New Roman" w:hAnsi="Times New Roman"/>
                <w:b/>
                <w:bCs/>
                <w:highlight w:val="none"/>
              </w:rPr>
              <w:t>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397" w:hRule="atLeast"/>
          <w:jc w:val="center"/>
        </w:trPr>
        <w:tc>
          <w:tcPr>
            <w:tcW w:w="807" w:type="dxa"/>
            <w:vMerge w:val="continue"/>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tc>
        <w:tc>
          <w:tcPr>
            <w:tcW w:w="1604" w:type="dxa"/>
            <w:vMerge w:val="continue"/>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p>
        </w:tc>
        <w:tc>
          <w:tcPr>
            <w:tcW w:w="1526" w:type="dxa"/>
            <w:vMerge w:val="continue"/>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p>
        </w:tc>
        <w:tc>
          <w:tcPr>
            <w:tcW w:w="1448" w:type="dxa"/>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仿宋" w:hAnsi="仿宋" w:eastAsia="仿宋"/>
                <w:spacing w:val="2"/>
                <w:sz w:val="22"/>
                <w:szCs w:val="22"/>
                <w:highlight w:val="none"/>
              </w:rPr>
              <w:t>成员前1/3</w:t>
            </w:r>
          </w:p>
        </w:tc>
        <w:tc>
          <w:tcPr>
            <w:tcW w:w="1570" w:type="dxa"/>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仿宋" w:hAnsi="仿宋" w:eastAsia="仿宋"/>
                <w:sz w:val="22"/>
                <w:szCs w:val="22"/>
                <w:highlight w:val="none"/>
              </w:rPr>
              <w:t>10/10</w:t>
            </w:r>
          </w:p>
        </w:tc>
        <w:tc>
          <w:tcPr>
            <w:tcW w:w="1579" w:type="dxa"/>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仿宋" w:hAnsi="仿宋" w:eastAsia="仿宋"/>
                <w:sz w:val="22"/>
                <w:szCs w:val="22"/>
                <w:highlight w:val="none"/>
              </w:rPr>
              <w:t>5/5</w:t>
            </w:r>
          </w:p>
        </w:tc>
        <w:tc>
          <w:tcPr>
            <w:tcW w:w="1584" w:type="dxa"/>
            <w:gridSpan w:val="3"/>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仿宋" w:hAnsi="仿宋" w:eastAsia="仿宋"/>
                <w:sz w:val="22"/>
                <w:szCs w:val="22"/>
                <w:highlight w:val="none"/>
              </w:rPr>
              <w:t>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07" w:type="dxa"/>
            <w:vMerge w:val="continue"/>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tc>
        <w:tc>
          <w:tcPr>
            <w:tcW w:w="1604" w:type="dxa"/>
            <w:vMerge w:val="continue"/>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p>
        </w:tc>
        <w:tc>
          <w:tcPr>
            <w:tcW w:w="1526" w:type="dxa"/>
            <w:vMerge w:val="continue"/>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p>
        </w:tc>
        <w:tc>
          <w:tcPr>
            <w:tcW w:w="1448" w:type="dxa"/>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仿宋" w:hAnsi="仿宋" w:eastAsia="仿宋"/>
                <w:spacing w:val="2"/>
                <w:sz w:val="22"/>
                <w:szCs w:val="22"/>
                <w:highlight w:val="none"/>
              </w:rPr>
              <w:t>成员中1/3</w:t>
            </w:r>
          </w:p>
        </w:tc>
        <w:tc>
          <w:tcPr>
            <w:tcW w:w="1570" w:type="dxa"/>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仿宋" w:hAnsi="仿宋" w:eastAsia="仿宋"/>
                <w:sz w:val="22"/>
                <w:szCs w:val="22"/>
                <w:highlight w:val="none"/>
              </w:rPr>
              <w:t>8/8</w:t>
            </w:r>
          </w:p>
        </w:tc>
        <w:tc>
          <w:tcPr>
            <w:tcW w:w="1579" w:type="dxa"/>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仿宋" w:hAnsi="仿宋" w:eastAsia="仿宋"/>
                <w:sz w:val="22"/>
                <w:szCs w:val="22"/>
                <w:highlight w:val="none"/>
              </w:rPr>
              <w:t>4/4</w:t>
            </w:r>
          </w:p>
        </w:tc>
        <w:tc>
          <w:tcPr>
            <w:tcW w:w="1584" w:type="dxa"/>
            <w:gridSpan w:val="3"/>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仿宋" w:hAnsi="仿宋" w:eastAsia="仿宋"/>
                <w:sz w:val="22"/>
                <w:szCs w:val="22"/>
                <w:highlight w:val="none"/>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07" w:type="dxa"/>
            <w:vMerge w:val="continue"/>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tc>
        <w:tc>
          <w:tcPr>
            <w:tcW w:w="1604" w:type="dxa"/>
            <w:vMerge w:val="continue"/>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p>
        </w:tc>
        <w:tc>
          <w:tcPr>
            <w:tcW w:w="1526" w:type="dxa"/>
            <w:vMerge w:val="continue"/>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p>
        </w:tc>
        <w:tc>
          <w:tcPr>
            <w:tcW w:w="1448" w:type="dxa"/>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仿宋" w:hAnsi="仿宋" w:eastAsia="仿宋"/>
                <w:spacing w:val="2"/>
                <w:sz w:val="22"/>
                <w:szCs w:val="22"/>
                <w:highlight w:val="none"/>
              </w:rPr>
              <w:t>成员后1/3</w:t>
            </w:r>
          </w:p>
        </w:tc>
        <w:tc>
          <w:tcPr>
            <w:tcW w:w="1570" w:type="dxa"/>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仿宋" w:hAnsi="仿宋" w:eastAsia="仿宋"/>
                <w:sz w:val="22"/>
                <w:szCs w:val="22"/>
                <w:highlight w:val="none"/>
              </w:rPr>
              <w:t>6/6</w:t>
            </w:r>
          </w:p>
        </w:tc>
        <w:tc>
          <w:tcPr>
            <w:tcW w:w="1579" w:type="dxa"/>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仿宋" w:hAnsi="仿宋" w:eastAsia="仿宋"/>
                <w:sz w:val="22"/>
                <w:szCs w:val="22"/>
                <w:highlight w:val="none"/>
              </w:rPr>
              <w:t>3/3</w:t>
            </w:r>
          </w:p>
        </w:tc>
        <w:tc>
          <w:tcPr>
            <w:tcW w:w="1584" w:type="dxa"/>
            <w:gridSpan w:val="3"/>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仿宋" w:hAnsi="仿宋" w:eastAsia="仿宋"/>
                <w:sz w:val="22"/>
                <w:szCs w:val="22"/>
                <w:highlight w:val="none"/>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382" w:hRule="atLeast"/>
          <w:jc w:val="center"/>
        </w:trPr>
        <w:tc>
          <w:tcPr>
            <w:tcW w:w="807" w:type="dxa"/>
            <w:vMerge w:val="continue"/>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tc>
        <w:tc>
          <w:tcPr>
            <w:tcW w:w="1604" w:type="dxa"/>
            <w:vMerge w:val="restart"/>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2"/>
                <w:szCs w:val="22"/>
                <w:highlight w:val="none"/>
              </w:rPr>
            </w:pPr>
            <w:r>
              <w:rPr>
                <w:rFonts w:hint="eastAsia" w:ascii="仿宋" w:hAnsi="仿宋" w:eastAsia="仿宋"/>
                <w:sz w:val="22"/>
                <w:szCs w:val="22"/>
                <w:highlight w:val="none"/>
              </w:rPr>
              <w:t>产教融合项目</w:t>
            </w:r>
          </w:p>
        </w:tc>
        <w:tc>
          <w:tcPr>
            <w:tcW w:w="1526" w:type="dxa"/>
            <w:vMerge w:val="restart"/>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2"/>
                <w:szCs w:val="22"/>
                <w:highlight w:val="none"/>
              </w:rPr>
            </w:pPr>
            <w:r>
              <w:rPr>
                <w:rFonts w:hint="eastAsia" w:ascii="仿宋" w:hAnsi="仿宋" w:eastAsia="仿宋"/>
                <w:sz w:val="22"/>
                <w:szCs w:val="22"/>
                <w:highlight w:val="none"/>
              </w:rPr>
              <w:t>负责人</w:t>
            </w:r>
          </w:p>
        </w:tc>
        <w:tc>
          <w:tcPr>
            <w:tcW w:w="1448" w:type="dxa"/>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2"/>
                <w:szCs w:val="22"/>
                <w:highlight w:val="none"/>
              </w:rPr>
            </w:pPr>
            <w:r>
              <w:rPr>
                <w:rFonts w:hint="eastAsia" w:ascii="仿宋" w:hAnsi="仿宋" w:eastAsia="仿宋"/>
                <w:sz w:val="22"/>
                <w:szCs w:val="22"/>
                <w:highlight w:val="none"/>
              </w:rPr>
              <w:t>立项</w:t>
            </w:r>
          </w:p>
        </w:tc>
        <w:tc>
          <w:tcPr>
            <w:tcW w:w="1570" w:type="dxa"/>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hint="eastAsia" w:ascii="仿宋" w:hAnsi="仿宋" w:eastAsia="仿宋"/>
                <w:sz w:val="22"/>
                <w:szCs w:val="22"/>
                <w:highlight w:val="none"/>
                <w:lang w:eastAsia="zh-CN"/>
              </w:rPr>
            </w:pPr>
            <w:r>
              <w:rPr>
                <w:rFonts w:hint="eastAsia" w:ascii="仿宋" w:hAnsi="仿宋" w:eastAsia="仿宋"/>
                <w:sz w:val="22"/>
                <w:szCs w:val="22"/>
                <w:highlight w:val="none"/>
                <w:lang w:val="en-US" w:eastAsia="zh-CN"/>
              </w:rPr>
              <w:t>7</w:t>
            </w:r>
          </w:p>
        </w:tc>
        <w:tc>
          <w:tcPr>
            <w:tcW w:w="1579" w:type="dxa"/>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2"/>
                <w:szCs w:val="22"/>
                <w:highlight w:val="none"/>
              </w:rPr>
            </w:pPr>
            <w:r>
              <w:rPr>
                <w:rFonts w:hint="eastAsia" w:ascii="仿宋" w:hAnsi="仿宋" w:eastAsia="仿宋"/>
                <w:sz w:val="22"/>
                <w:szCs w:val="22"/>
                <w:highlight w:val="none"/>
              </w:rPr>
              <w:t>3</w:t>
            </w:r>
          </w:p>
        </w:tc>
        <w:tc>
          <w:tcPr>
            <w:tcW w:w="1584" w:type="dxa"/>
            <w:gridSpan w:val="3"/>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2"/>
                <w:szCs w:val="22"/>
                <w:highlight w:val="none"/>
              </w:rPr>
            </w:pPr>
            <w:r>
              <w:rPr>
                <w:rFonts w:hint="eastAsia" w:ascii="仿宋" w:hAnsi="仿宋" w:eastAsia="仿宋"/>
                <w:sz w:val="22"/>
                <w:szCs w:val="22"/>
                <w:highlight w:val="none"/>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807" w:type="dxa"/>
            <w:vMerge w:val="continue"/>
            <w:shd w:val="clear" w:color="auto" w:fill="FFFFFF"/>
            <w:noWrap w:val="0"/>
            <w:vAlign w:val="top"/>
          </w:tcPr>
          <w:p>
            <w:pPr>
              <w:pageBreakBefore w:val="0"/>
              <w:kinsoku/>
              <w:wordWrap/>
              <w:overflowPunct/>
              <w:topLinePunct w:val="0"/>
              <w:autoSpaceDE/>
              <w:autoSpaceDN/>
              <w:bidi w:val="0"/>
              <w:spacing w:line="560" w:lineRule="exact"/>
              <w:jc w:val="center"/>
              <w:textAlignment w:val="auto"/>
              <w:rPr>
                <w:highlight w:val="none"/>
              </w:rPr>
            </w:pPr>
          </w:p>
        </w:tc>
        <w:tc>
          <w:tcPr>
            <w:tcW w:w="1604" w:type="dxa"/>
            <w:vMerge w:val="continue"/>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2"/>
                <w:szCs w:val="22"/>
                <w:highlight w:val="none"/>
              </w:rPr>
            </w:pPr>
          </w:p>
        </w:tc>
        <w:tc>
          <w:tcPr>
            <w:tcW w:w="1526" w:type="dxa"/>
            <w:vMerge w:val="continue"/>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2"/>
                <w:szCs w:val="22"/>
                <w:highlight w:val="none"/>
              </w:rPr>
            </w:pPr>
          </w:p>
        </w:tc>
        <w:tc>
          <w:tcPr>
            <w:tcW w:w="1448" w:type="dxa"/>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2"/>
                <w:szCs w:val="22"/>
                <w:highlight w:val="none"/>
              </w:rPr>
            </w:pPr>
            <w:r>
              <w:rPr>
                <w:rFonts w:hint="eastAsia" w:ascii="仿宋" w:hAnsi="仿宋" w:eastAsia="仿宋"/>
                <w:sz w:val="22"/>
                <w:szCs w:val="22"/>
                <w:highlight w:val="none"/>
              </w:rPr>
              <w:t>结项</w:t>
            </w:r>
          </w:p>
        </w:tc>
        <w:tc>
          <w:tcPr>
            <w:tcW w:w="1570" w:type="dxa"/>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hint="eastAsia" w:ascii="仿宋" w:hAnsi="仿宋" w:eastAsia="仿宋"/>
                <w:sz w:val="22"/>
                <w:szCs w:val="22"/>
                <w:highlight w:val="none"/>
                <w:lang w:eastAsia="zh-CN"/>
              </w:rPr>
            </w:pPr>
            <w:r>
              <w:rPr>
                <w:rFonts w:hint="eastAsia" w:ascii="仿宋" w:hAnsi="仿宋" w:eastAsia="仿宋"/>
                <w:sz w:val="22"/>
                <w:szCs w:val="22"/>
                <w:highlight w:val="none"/>
                <w:lang w:val="en-US" w:eastAsia="zh-CN"/>
              </w:rPr>
              <w:t>7</w:t>
            </w:r>
          </w:p>
        </w:tc>
        <w:tc>
          <w:tcPr>
            <w:tcW w:w="1579" w:type="dxa"/>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2"/>
                <w:szCs w:val="22"/>
                <w:highlight w:val="none"/>
              </w:rPr>
            </w:pPr>
            <w:r>
              <w:rPr>
                <w:rFonts w:hint="eastAsia" w:ascii="仿宋" w:hAnsi="仿宋" w:eastAsia="仿宋"/>
                <w:sz w:val="22"/>
                <w:szCs w:val="22"/>
                <w:highlight w:val="none"/>
              </w:rPr>
              <w:t>3</w:t>
            </w:r>
          </w:p>
        </w:tc>
        <w:tc>
          <w:tcPr>
            <w:tcW w:w="1584" w:type="dxa"/>
            <w:gridSpan w:val="3"/>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2"/>
                <w:szCs w:val="22"/>
                <w:highlight w:val="none"/>
              </w:rPr>
            </w:pPr>
            <w:r>
              <w:rPr>
                <w:rFonts w:hint="eastAsia" w:ascii="仿宋" w:hAnsi="仿宋" w:eastAsia="仿宋"/>
                <w:sz w:val="22"/>
                <w:szCs w:val="22"/>
                <w:highlight w:val="none"/>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07" w:type="dxa"/>
            <w:vMerge w:val="continue"/>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tc>
        <w:tc>
          <w:tcPr>
            <w:tcW w:w="1604" w:type="dxa"/>
            <w:vMerge w:val="restart"/>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Times New Roman" w:hAnsi="Times New Roman"/>
                <w:sz w:val="18"/>
                <w:szCs w:val="18"/>
                <w:highlight w:val="none"/>
              </w:rPr>
              <w:t>一流专业与课程建设</w:t>
            </w:r>
          </w:p>
        </w:tc>
        <w:tc>
          <w:tcPr>
            <w:tcW w:w="1526" w:type="dxa"/>
            <w:vMerge w:val="restart"/>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Times New Roman" w:hAnsi="Times New Roman"/>
                <w:highlight w:val="none"/>
              </w:rPr>
              <w:t>获批</w:t>
            </w:r>
          </w:p>
        </w:tc>
        <w:tc>
          <w:tcPr>
            <w:tcW w:w="1448" w:type="dxa"/>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仿宋" w:hAnsi="仿宋" w:eastAsia="仿宋"/>
                <w:b/>
                <w:bCs/>
                <w:spacing w:val="2"/>
                <w:sz w:val="24"/>
                <w:highlight w:val="none"/>
              </w:rPr>
              <w:t>负</w:t>
            </w:r>
            <w:r>
              <w:rPr>
                <w:rFonts w:hint="eastAsia" w:ascii="仿宋" w:hAnsi="仿宋" w:eastAsia="仿宋"/>
                <w:b/>
                <w:bCs/>
                <w:spacing w:val="1"/>
                <w:sz w:val="24"/>
                <w:highlight w:val="none"/>
              </w:rPr>
              <w:t>责人</w:t>
            </w:r>
          </w:p>
        </w:tc>
        <w:tc>
          <w:tcPr>
            <w:tcW w:w="1570" w:type="dxa"/>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仿宋" w:hAnsi="仿宋" w:eastAsia="仿宋"/>
                <w:b/>
                <w:bCs/>
                <w:spacing w:val="-15"/>
                <w:sz w:val="24"/>
                <w:highlight w:val="none"/>
              </w:rPr>
              <w:t>18</w:t>
            </w:r>
          </w:p>
        </w:tc>
        <w:tc>
          <w:tcPr>
            <w:tcW w:w="1579" w:type="dxa"/>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仿宋" w:hAnsi="仿宋" w:eastAsia="仿宋"/>
                <w:b/>
                <w:bCs/>
                <w:sz w:val="24"/>
                <w:highlight w:val="none"/>
              </w:rPr>
              <w:t>12</w:t>
            </w:r>
          </w:p>
        </w:tc>
        <w:tc>
          <w:tcPr>
            <w:tcW w:w="1584" w:type="dxa"/>
            <w:gridSpan w:val="3"/>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仿宋" w:hAnsi="仿宋" w:eastAsia="仿宋"/>
                <w:b/>
                <w:bCs/>
                <w:sz w:val="24"/>
                <w:highlight w:val="none"/>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1650" w:hRule="atLeast"/>
          <w:jc w:val="center"/>
        </w:trPr>
        <w:tc>
          <w:tcPr>
            <w:tcW w:w="807" w:type="dxa"/>
            <w:vMerge w:val="continue"/>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tc>
        <w:tc>
          <w:tcPr>
            <w:tcW w:w="1604" w:type="dxa"/>
            <w:vMerge w:val="continue"/>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p>
        </w:tc>
        <w:tc>
          <w:tcPr>
            <w:tcW w:w="1526" w:type="dxa"/>
            <w:vMerge w:val="continue"/>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p>
        </w:tc>
        <w:tc>
          <w:tcPr>
            <w:tcW w:w="1448" w:type="dxa"/>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hint="eastAsia" w:ascii="Times New Roman" w:hAnsi="Times New Roman"/>
                <w:highlight w:val="none"/>
              </w:rPr>
            </w:pPr>
            <w:r>
              <w:rPr>
                <w:rFonts w:hint="eastAsia" w:ascii="仿宋" w:hAnsi="仿宋" w:eastAsia="仿宋"/>
                <w:spacing w:val="2"/>
                <w:sz w:val="22"/>
                <w:szCs w:val="22"/>
                <w:highlight w:val="none"/>
              </w:rPr>
              <w:t>成员</w:t>
            </w:r>
          </w:p>
        </w:tc>
        <w:tc>
          <w:tcPr>
            <w:tcW w:w="1570" w:type="dxa"/>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hint="eastAsia" w:ascii="Times New Roman" w:hAnsi="Times New Roman"/>
                <w:highlight w:val="none"/>
              </w:rPr>
            </w:pPr>
            <w:r>
              <w:rPr>
                <w:rFonts w:hint="eastAsia" w:ascii="仿宋" w:hAnsi="仿宋" w:eastAsia="仿宋"/>
                <w:spacing w:val="4"/>
                <w:sz w:val="22"/>
                <w:szCs w:val="22"/>
                <w:highlight w:val="none"/>
              </w:rPr>
              <w:t>10</w:t>
            </w:r>
          </w:p>
        </w:tc>
        <w:tc>
          <w:tcPr>
            <w:tcW w:w="1579" w:type="dxa"/>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hint="eastAsia" w:ascii="Times New Roman" w:hAnsi="Times New Roman"/>
                <w:highlight w:val="none"/>
              </w:rPr>
            </w:pPr>
            <w:r>
              <w:rPr>
                <w:rFonts w:hint="eastAsia" w:ascii="仿宋" w:hAnsi="仿宋" w:eastAsia="仿宋"/>
                <w:sz w:val="22"/>
                <w:szCs w:val="22"/>
                <w:highlight w:val="none"/>
              </w:rPr>
              <w:t>8</w:t>
            </w:r>
          </w:p>
        </w:tc>
        <w:tc>
          <w:tcPr>
            <w:tcW w:w="1584" w:type="dxa"/>
            <w:gridSpan w:val="3"/>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hint="eastAsia" w:ascii="Times New Roman" w:hAnsi="Times New Roman" w:eastAsia="宋体"/>
                <w:highlight w:val="none"/>
                <w:lang w:eastAsia="zh-CN"/>
              </w:rPr>
            </w:pPr>
            <w:r>
              <w:rPr>
                <w:rFonts w:hint="eastAsia" w:ascii="仿宋" w:hAnsi="仿宋" w:eastAsia="仿宋"/>
                <w:sz w:val="22"/>
                <w:szCs w:val="22"/>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07" w:type="dxa"/>
            <w:vMerge w:val="continue"/>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tc>
        <w:tc>
          <w:tcPr>
            <w:tcW w:w="1604" w:type="dxa"/>
            <w:vMerge w:val="restart"/>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hint="eastAsia" w:ascii="Times New Roman" w:hAnsi="Times New Roman"/>
                <w:highlight w:val="none"/>
              </w:rPr>
            </w:pPr>
            <w:r>
              <w:rPr>
                <w:rFonts w:hint="eastAsia" w:ascii="Times New Roman" w:hAnsi="Times New Roman"/>
                <w:highlight w:val="none"/>
              </w:rPr>
              <w:t>教学团队</w:t>
            </w:r>
          </w:p>
        </w:tc>
        <w:tc>
          <w:tcPr>
            <w:tcW w:w="1526" w:type="dxa"/>
            <w:vMerge w:val="restart"/>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Times New Roman" w:hAnsi="Times New Roman"/>
                <w:highlight w:val="none"/>
              </w:rPr>
              <w:t>获批</w:t>
            </w:r>
          </w:p>
        </w:tc>
        <w:tc>
          <w:tcPr>
            <w:tcW w:w="1448" w:type="dxa"/>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仿宋" w:hAnsi="仿宋" w:eastAsia="仿宋"/>
                <w:b/>
                <w:bCs/>
                <w:spacing w:val="2"/>
                <w:sz w:val="24"/>
                <w:highlight w:val="none"/>
              </w:rPr>
              <w:t>负</w:t>
            </w:r>
            <w:r>
              <w:rPr>
                <w:rFonts w:hint="eastAsia" w:ascii="仿宋" w:hAnsi="仿宋" w:eastAsia="仿宋"/>
                <w:b/>
                <w:bCs/>
                <w:spacing w:val="1"/>
                <w:sz w:val="24"/>
                <w:highlight w:val="none"/>
              </w:rPr>
              <w:t>责人</w:t>
            </w:r>
          </w:p>
        </w:tc>
        <w:tc>
          <w:tcPr>
            <w:tcW w:w="1570" w:type="dxa"/>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仿宋" w:hAnsi="仿宋" w:eastAsia="仿宋"/>
                <w:b/>
                <w:bCs/>
                <w:sz w:val="24"/>
                <w:highlight w:val="none"/>
              </w:rPr>
              <w:t>18</w:t>
            </w:r>
          </w:p>
        </w:tc>
        <w:tc>
          <w:tcPr>
            <w:tcW w:w="1579" w:type="dxa"/>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仿宋" w:hAnsi="仿宋" w:eastAsia="仿宋"/>
                <w:b/>
                <w:bCs/>
                <w:sz w:val="24"/>
                <w:highlight w:val="none"/>
              </w:rPr>
              <w:t>12</w:t>
            </w:r>
          </w:p>
        </w:tc>
        <w:tc>
          <w:tcPr>
            <w:tcW w:w="1584" w:type="dxa"/>
            <w:gridSpan w:val="3"/>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仿宋" w:hAnsi="仿宋" w:eastAsia="仿宋"/>
                <w:b/>
                <w:bCs/>
                <w:sz w:val="24"/>
                <w:highlight w:val="none"/>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397" w:hRule="atLeast"/>
          <w:jc w:val="center"/>
        </w:trPr>
        <w:tc>
          <w:tcPr>
            <w:tcW w:w="807" w:type="dxa"/>
            <w:vMerge w:val="continue"/>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tc>
        <w:tc>
          <w:tcPr>
            <w:tcW w:w="1604" w:type="dxa"/>
            <w:vMerge w:val="continue"/>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p>
        </w:tc>
        <w:tc>
          <w:tcPr>
            <w:tcW w:w="1526" w:type="dxa"/>
            <w:vMerge w:val="continue"/>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p>
        </w:tc>
        <w:tc>
          <w:tcPr>
            <w:tcW w:w="1448" w:type="dxa"/>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仿宋" w:hAnsi="仿宋" w:eastAsia="仿宋"/>
                <w:spacing w:val="2"/>
                <w:sz w:val="22"/>
                <w:szCs w:val="22"/>
                <w:highlight w:val="none"/>
              </w:rPr>
              <w:t>成员前1/3</w:t>
            </w:r>
          </w:p>
        </w:tc>
        <w:tc>
          <w:tcPr>
            <w:tcW w:w="1570" w:type="dxa"/>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仿宋" w:hAnsi="仿宋" w:eastAsia="仿宋"/>
                <w:sz w:val="22"/>
                <w:szCs w:val="22"/>
                <w:highlight w:val="none"/>
              </w:rPr>
              <w:t>14</w:t>
            </w:r>
          </w:p>
        </w:tc>
        <w:tc>
          <w:tcPr>
            <w:tcW w:w="1579" w:type="dxa"/>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仿宋" w:hAnsi="仿宋" w:eastAsia="仿宋"/>
                <w:sz w:val="22"/>
                <w:szCs w:val="22"/>
                <w:highlight w:val="none"/>
              </w:rPr>
              <w:t>10</w:t>
            </w:r>
          </w:p>
        </w:tc>
        <w:tc>
          <w:tcPr>
            <w:tcW w:w="1584" w:type="dxa"/>
            <w:gridSpan w:val="3"/>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仿宋" w:hAnsi="仿宋" w:eastAsia="仿宋"/>
                <w:sz w:val="22"/>
                <w:szCs w:val="22"/>
                <w:highlight w:val="none"/>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07" w:type="dxa"/>
            <w:vMerge w:val="continue"/>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tc>
        <w:tc>
          <w:tcPr>
            <w:tcW w:w="1604" w:type="dxa"/>
            <w:vMerge w:val="continue"/>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p>
        </w:tc>
        <w:tc>
          <w:tcPr>
            <w:tcW w:w="1526" w:type="dxa"/>
            <w:vMerge w:val="continue"/>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p>
        </w:tc>
        <w:tc>
          <w:tcPr>
            <w:tcW w:w="1448" w:type="dxa"/>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仿宋" w:hAnsi="仿宋" w:eastAsia="仿宋"/>
                <w:spacing w:val="2"/>
                <w:sz w:val="22"/>
                <w:szCs w:val="22"/>
                <w:highlight w:val="none"/>
              </w:rPr>
              <w:t>成员中1/3</w:t>
            </w:r>
          </w:p>
        </w:tc>
        <w:tc>
          <w:tcPr>
            <w:tcW w:w="1570" w:type="dxa"/>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仿宋" w:hAnsi="仿宋" w:eastAsia="仿宋"/>
                <w:sz w:val="22"/>
                <w:szCs w:val="22"/>
                <w:highlight w:val="none"/>
              </w:rPr>
              <w:t>10</w:t>
            </w:r>
          </w:p>
        </w:tc>
        <w:tc>
          <w:tcPr>
            <w:tcW w:w="1579" w:type="dxa"/>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仿宋" w:hAnsi="仿宋" w:eastAsia="仿宋"/>
                <w:sz w:val="22"/>
                <w:szCs w:val="22"/>
                <w:highlight w:val="none"/>
              </w:rPr>
              <w:t>8</w:t>
            </w:r>
          </w:p>
        </w:tc>
        <w:tc>
          <w:tcPr>
            <w:tcW w:w="1584" w:type="dxa"/>
            <w:gridSpan w:val="3"/>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仿宋" w:hAnsi="仿宋" w:eastAsia="仿宋"/>
                <w:sz w:val="22"/>
                <w:szCs w:val="22"/>
                <w:highlight w:val="none"/>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07" w:type="dxa"/>
            <w:vMerge w:val="continue"/>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tc>
        <w:tc>
          <w:tcPr>
            <w:tcW w:w="1604" w:type="dxa"/>
            <w:vMerge w:val="continue"/>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p>
        </w:tc>
        <w:tc>
          <w:tcPr>
            <w:tcW w:w="1526" w:type="dxa"/>
            <w:vMerge w:val="continue"/>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p>
        </w:tc>
        <w:tc>
          <w:tcPr>
            <w:tcW w:w="1448" w:type="dxa"/>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仿宋" w:hAnsi="仿宋" w:eastAsia="仿宋"/>
                <w:spacing w:val="2"/>
                <w:sz w:val="22"/>
                <w:szCs w:val="22"/>
                <w:highlight w:val="none"/>
              </w:rPr>
              <w:t>成员后1/3</w:t>
            </w:r>
          </w:p>
        </w:tc>
        <w:tc>
          <w:tcPr>
            <w:tcW w:w="1570" w:type="dxa"/>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仿宋" w:hAnsi="仿宋" w:eastAsia="仿宋"/>
                <w:sz w:val="22"/>
                <w:szCs w:val="22"/>
                <w:highlight w:val="none"/>
              </w:rPr>
              <w:t>6</w:t>
            </w:r>
          </w:p>
        </w:tc>
        <w:tc>
          <w:tcPr>
            <w:tcW w:w="1579" w:type="dxa"/>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仿宋" w:hAnsi="仿宋" w:eastAsia="仿宋"/>
                <w:sz w:val="22"/>
                <w:szCs w:val="22"/>
                <w:highlight w:val="none"/>
              </w:rPr>
              <w:t>4</w:t>
            </w:r>
          </w:p>
        </w:tc>
        <w:tc>
          <w:tcPr>
            <w:tcW w:w="1584" w:type="dxa"/>
            <w:gridSpan w:val="3"/>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仿宋" w:hAnsi="仿宋" w:eastAsia="仿宋"/>
                <w:sz w:val="22"/>
                <w:szCs w:val="22"/>
                <w:highlight w:val="none"/>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397" w:hRule="atLeast"/>
          <w:jc w:val="center"/>
        </w:trPr>
        <w:tc>
          <w:tcPr>
            <w:tcW w:w="807" w:type="dxa"/>
            <w:vMerge w:val="continue"/>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tc>
        <w:tc>
          <w:tcPr>
            <w:tcW w:w="1604" w:type="dxa"/>
            <w:vMerge w:val="restart"/>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Times New Roman" w:hAnsi="Times New Roman"/>
                <w:highlight w:val="none"/>
              </w:rPr>
              <w:t>教师教学创新</w:t>
            </w:r>
          </w:p>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Times New Roman" w:hAnsi="Times New Roman"/>
                <w:highlight w:val="none"/>
              </w:rPr>
              <w:t>大赛</w:t>
            </w:r>
          </w:p>
        </w:tc>
        <w:tc>
          <w:tcPr>
            <w:tcW w:w="1526" w:type="dxa"/>
            <w:vMerge w:val="restart"/>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Times New Roman" w:hAnsi="Times New Roman"/>
                <w:highlight w:val="none"/>
              </w:rPr>
              <w:t>一等奖</w:t>
            </w:r>
          </w:p>
        </w:tc>
        <w:tc>
          <w:tcPr>
            <w:tcW w:w="1448" w:type="dxa"/>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Times New Roman" w:hAnsi="Times New Roman"/>
                <w:highlight w:val="none"/>
              </w:rPr>
              <w:t>主讲教师</w:t>
            </w:r>
          </w:p>
        </w:tc>
        <w:tc>
          <w:tcPr>
            <w:tcW w:w="1570" w:type="dxa"/>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仿宋" w:hAnsi="仿宋" w:eastAsia="仿宋"/>
                <w:b/>
                <w:bCs/>
                <w:sz w:val="24"/>
                <w:highlight w:val="none"/>
              </w:rPr>
              <w:t>18</w:t>
            </w:r>
          </w:p>
        </w:tc>
        <w:tc>
          <w:tcPr>
            <w:tcW w:w="1579" w:type="dxa"/>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仿宋" w:hAnsi="仿宋" w:eastAsia="仿宋"/>
                <w:b/>
                <w:bCs/>
                <w:sz w:val="24"/>
                <w:highlight w:val="none"/>
              </w:rPr>
              <w:t>14</w:t>
            </w:r>
          </w:p>
        </w:tc>
        <w:tc>
          <w:tcPr>
            <w:tcW w:w="1584" w:type="dxa"/>
            <w:gridSpan w:val="3"/>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仿宋" w:hAnsi="仿宋" w:eastAsia="仿宋"/>
                <w:b/>
                <w:bCs/>
                <w:sz w:val="24"/>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07" w:type="dxa"/>
            <w:vMerge w:val="continue"/>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tc>
        <w:tc>
          <w:tcPr>
            <w:tcW w:w="1604" w:type="dxa"/>
            <w:vMerge w:val="continue"/>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hint="eastAsia" w:ascii="Times New Roman" w:hAnsi="Times New Roman"/>
                <w:highlight w:val="none"/>
              </w:rPr>
            </w:pPr>
          </w:p>
        </w:tc>
        <w:tc>
          <w:tcPr>
            <w:tcW w:w="1526" w:type="dxa"/>
            <w:vMerge w:val="continue"/>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hint="eastAsia" w:ascii="Times New Roman" w:hAnsi="Times New Roman"/>
                <w:highlight w:val="none"/>
              </w:rPr>
            </w:pPr>
          </w:p>
        </w:tc>
        <w:tc>
          <w:tcPr>
            <w:tcW w:w="1448" w:type="dxa"/>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hint="eastAsia" w:ascii="Times New Roman" w:hAnsi="Times New Roman"/>
                <w:highlight w:val="none"/>
              </w:rPr>
            </w:pPr>
            <w:r>
              <w:rPr>
                <w:rFonts w:hint="eastAsia" w:ascii="Times New Roman" w:hAnsi="Times New Roman"/>
                <w:highlight w:val="none"/>
              </w:rPr>
              <w:t>成员</w:t>
            </w:r>
          </w:p>
        </w:tc>
        <w:tc>
          <w:tcPr>
            <w:tcW w:w="1570" w:type="dxa"/>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hint="eastAsia" w:ascii="Times New Roman" w:hAnsi="Times New Roman"/>
                <w:highlight w:val="none"/>
              </w:rPr>
            </w:pPr>
            <w:r>
              <w:rPr>
                <w:rFonts w:hint="eastAsia" w:ascii="仿宋" w:hAnsi="仿宋" w:eastAsia="仿宋"/>
                <w:spacing w:val="-15"/>
                <w:sz w:val="22"/>
                <w:szCs w:val="22"/>
                <w:highlight w:val="none"/>
              </w:rPr>
              <w:t>9</w:t>
            </w:r>
          </w:p>
        </w:tc>
        <w:tc>
          <w:tcPr>
            <w:tcW w:w="1579" w:type="dxa"/>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hint="eastAsia" w:ascii="Times New Roman" w:hAnsi="Times New Roman"/>
                <w:highlight w:val="none"/>
              </w:rPr>
            </w:pPr>
            <w:r>
              <w:rPr>
                <w:rFonts w:hint="eastAsia" w:ascii="仿宋" w:hAnsi="仿宋" w:eastAsia="仿宋"/>
                <w:spacing w:val="-15"/>
                <w:sz w:val="22"/>
                <w:szCs w:val="22"/>
                <w:highlight w:val="none"/>
              </w:rPr>
              <w:t>7</w:t>
            </w:r>
          </w:p>
        </w:tc>
        <w:tc>
          <w:tcPr>
            <w:tcW w:w="1584" w:type="dxa"/>
            <w:gridSpan w:val="3"/>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hint="eastAsia" w:ascii="Times New Roman" w:hAnsi="Times New Roman"/>
                <w:highlight w:val="none"/>
              </w:rPr>
            </w:pPr>
            <w:r>
              <w:rPr>
                <w:rFonts w:hint="eastAsia" w:ascii="仿宋" w:hAnsi="仿宋" w:eastAsia="仿宋"/>
                <w:sz w:val="22"/>
                <w:szCs w:val="22"/>
                <w:highlight w:val="none"/>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07" w:type="dxa"/>
            <w:vMerge w:val="continue"/>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tc>
        <w:tc>
          <w:tcPr>
            <w:tcW w:w="1604" w:type="dxa"/>
            <w:vMerge w:val="continue"/>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p>
        </w:tc>
        <w:tc>
          <w:tcPr>
            <w:tcW w:w="1526" w:type="dxa"/>
            <w:vMerge w:val="restart"/>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Times New Roman" w:hAnsi="Times New Roman"/>
                <w:highlight w:val="none"/>
              </w:rPr>
              <w:t>二等奖</w:t>
            </w:r>
          </w:p>
        </w:tc>
        <w:tc>
          <w:tcPr>
            <w:tcW w:w="1448" w:type="dxa"/>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Times New Roman" w:hAnsi="Times New Roman"/>
                <w:highlight w:val="none"/>
              </w:rPr>
              <w:t>主讲教师</w:t>
            </w:r>
          </w:p>
        </w:tc>
        <w:tc>
          <w:tcPr>
            <w:tcW w:w="1570" w:type="dxa"/>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仿宋" w:hAnsi="仿宋" w:eastAsia="仿宋"/>
                <w:b/>
                <w:bCs/>
                <w:spacing w:val="-15"/>
                <w:sz w:val="24"/>
                <w:highlight w:val="none"/>
              </w:rPr>
              <w:t>14</w:t>
            </w:r>
          </w:p>
        </w:tc>
        <w:tc>
          <w:tcPr>
            <w:tcW w:w="1579" w:type="dxa"/>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仿宋" w:hAnsi="仿宋" w:eastAsia="仿宋"/>
                <w:b/>
                <w:bCs/>
                <w:sz w:val="24"/>
                <w:highlight w:val="none"/>
              </w:rPr>
              <w:t>10</w:t>
            </w:r>
          </w:p>
        </w:tc>
        <w:tc>
          <w:tcPr>
            <w:tcW w:w="1584" w:type="dxa"/>
            <w:gridSpan w:val="3"/>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仿宋" w:hAnsi="仿宋" w:eastAsia="仿宋"/>
                <w:b/>
                <w:bCs/>
                <w:sz w:val="24"/>
                <w:highlight w:val="none"/>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07" w:type="dxa"/>
            <w:vMerge w:val="continue"/>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tc>
        <w:tc>
          <w:tcPr>
            <w:tcW w:w="1604" w:type="dxa"/>
            <w:vMerge w:val="continue"/>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p>
        </w:tc>
        <w:tc>
          <w:tcPr>
            <w:tcW w:w="1526" w:type="dxa"/>
            <w:vMerge w:val="continue"/>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hint="eastAsia" w:ascii="Times New Roman" w:hAnsi="Times New Roman"/>
                <w:highlight w:val="none"/>
              </w:rPr>
            </w:pPr>
          </w:p>
        </w:tc>
        <w:tc>
          <w:tcPr>
            <w:tcW w:w="1448" w:type="dxa"/>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hint="eastAsia" w:ascii="Times New Roman" w:hAnsi="Times New Roman"/>
                <w:highlight w:val="none"/>
              </w:rPr>
            </w:pPr>
            <w:r>
              <w:rPr>
                <w:rFonts w:hint="eastAsia" w:ascii="Times New Roman" w:hAnsi="Times New Roman"/>
                <w:highlight w:val="none"/>
              </w:rPr>
              <w:t>成员</w:t>
            </w:r>
          </w:p>
        </w:tc>
        <w:tc>
          <w:tcPr>
            <w:tcW w:w="1570" w:type="dxa"/>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hint="eastAsia" w:ascii="Times New Roman" w:hAnsi="Times New Roman"/>
                <w:highlight w:val="none"/>
              </w:rPr>
            </w:pPr>
            <w:r>
              <w:rPr>
                <w:rFonts w:hint="eastAsia" w:ascii="仿宋" w:hAnsi="仿宋" w:eastAsia="仿宋"/>
                <w:spacing w:val="-15"/>
                <w:sz w:val="22"/>
                <w:szCs w:val="22"/>
                <w:highlight w:val="none"/>
              </w:rPr>
              <w:t>7</w:t>
            </w:r>
          </w:p>
        </w:tc>
        <w:tc>
          <w:tcPr>
            <w:tcW w:w="1579" w:type="dxa"/>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hint="eastAsia" w:ascii="Times New Roman" w:hAnsi="Times New Roman"/>
                <w:highlight w:val="none"/>
              </w:rPr>
            </w:pPr>
            <w:r>
              <w:rPr>
                <w:rFonts w:hint="eastAsia" w:ascii="仿宋" w:hAnsi="仿宋" w:eastAsia="仿宋"/>
                <w:sz w:val="22"/>
                <w:szCs w:val="22"/>
                <w:highlight w:val="none"/>
              </w:rPr>
              <w:t>5</w:t>
            </w:r>
          </w:p>
        </w:tc>
        <w:tc>
          <w:tcPr>
            <w:tcW w:w="1584" w:type="dxa"/>
            <w:gridSpan w:val="3"/>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hint="eastAsia" w:ascii="Times New Roman" w:hAnsi="Times New Roman"/>
                <w:highlight w:val="none"/>
              </w:rPr>
            </w:pPr>
            <w:r>
              <w:rPr>
                <w:rFonts w:hint="eastAsia" w:ascii="仿宋" w:hAnsi="仿宋" w:eastAsia="仿宋"/>
                <w:sz w:val="22"/>
                <w:szCs w:val="22"/>
                <w:highlight w:val="none"/>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07" w:type="dxa"/>
            <w:vMerge w:val="continue"/>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tc>
        <w:tc>
          <w:tcPr>
            <w:tcW w:w="1604" w:type="dxa"/>
            <w:vMerge w:val="continue"/>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p>
        </w:tc>
        <w:tc>
          <w:tcPr>
            <w:tcW w:w="1526" w:type="dxa"/>
            <w:vMerge w:val="restart"/>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Times New Roman" w:hAnsi="Times New Roman"/>
                <w:highlight w:val="none"/>
              </w:rPr>
              <w:t>三等奖</w:t>
            </w:r>
          </w:p>
        </w:tc>
        <w:tc>
          <w:tcPr>
            <w:tcW w:w="1448" w:type="dxa"/>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Times New Roman" w:hAnsi="Times New Roman"/>
                <w:highlight w:val="none"/>
              </w:rPr>
              <w:t>主讲教师</w:t>
            </w:r>
          </w:p>
        </w:tc>
        <w:tc>
          <w:tcPr>
            <w:tcW w:w="1570" w:type="dxa"/>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仿宋" w:hAnsi="仿宋" w:eastAsia="仿宋"/>
                <w:b/>
                <w:bCs/>
                <w:spacing w:val="-17"/>
                <w:sz w:val="24"/>
                <w:highlight w:val="none"/>
              </w:rPr>
              <w:t>10</w:t>
            </w:r>
          </w:p>
        </w:tc>
        <w:tc>
          <w:tcPr>
            <w:tcW w:w="1579" w:type="dxa"/>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仿宋" w:hAnsi="仿宋" w:eastAsia="仿宋"/>
                <w:b/>
                <w:bCs/>
                <w:sz w:val="24"/>
                <w:highlight w:val="none"/>
              </w:rPr>
              <w:t>6</w:t>
            </w:r>
          </w:p>
        </w:tc>
        <w:tc>
          <w:tcPr>
            <w:tcW w:w="1584" w:type="dxa"/>
            <w:gridSpan w:val="3"/>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仿宋" w:hAnsi="仿宋" w:eastAsia="仿宋"/>
                <w:b/>
                <w:bCs/>
                <w:sz w:val="24"/>
                <w:highlight w:val="none"/>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397" w:hRule="atLeast"/>
          <w:jc w:val="center"/>
        </w:trPr>
        <w:tc>
          <w:tcPr>
            <w:tcW w:w="807" w:type="dxa"/>
            <w:vMerge w:val="continue"/>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tc>
        <w:tc>
          <w:tcPr>
            <w:tcW w:w="1604" w:type="dxa"/>
            <w:vMerge w:val="continue"/>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p>
        </w:tc>
        <w:tc>
          <w:tcPr>
            <w:tcW w:w="1526" w:type="dxa"/>
            <w:vMerge w:val="continue"/>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hint="eastAsia" w:ascii="Times New Roman" w:hAnsi="Times New Roman"/>
                <w:highlight w:val="none"/>
              </w:rPr>
            </w:pPr>
          </w:p>
        </w:tc>
        <w:tc>
          <w:tcPr>
            <w:tcW w:w="1448" w:type="dxa"/>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hint="eastAsia" w:ascii="Times New Roman" w:hAnsi="Times New Roman"/>
                <w:highlight w:val="none"/>
              </w:rPr>
            </w:pPr>
            <w:r>
              <w:rPr>
                <w:rFonts w:hint="eastAsia" w:ascii="Times New Roman" w:hAnsi="Times New Roman"/>
                <w:highlight w:val="none"/>
              </w:rPr>
              <w:t>成员</w:t>
            </w:r>
          </w:p>
        </w:tc>
        <w:tc>
          <w:tcPr>
            <w:tcW w:w="1570" w:type="dxa"/>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hint="eastAsia" w:ascii="Times New Roman" w:hAnsi="Times New Roman"/>
                <w:highlight w:val="none"/>
              </w:rPr>
            </w:pPr>
            <w:r>
              <w:rPr>
                <w:rFonts w:hint="eastAsia" w:ascii="仿宋" w:hAnsi="仿宋" w:eastAsia="仿宋"/>
                <w:spacing w:val="2"/>
                <w:sz w:val="22"/>
                <w:szCs w:val="22"/>
                <w:highlight w:val="none"/>
              </w:rPr>
              <w:t>5</w:t>
            </w:r>
          </w:p>
        </w:tc>
        <w:tc>
          <w:tcPr>
            <w:tcW w:w="1579" w:type="dxa"/>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hint="eastAsia" w:ascii="Times New Roman" w:hAnsi="Times New Roman"/>
                <w:highlight w:val="none"/>
              </w:rPr>
            </w:pPr>
            <w:r>
              <w:rPr>
                <w:rFonts w:hint="eastAsia" w:ascii="仿宋" w:hAnsi="仿宋" w:eastAsia="仿宋"/>
                <w:spacing w:val="2"/>
                <w:sz w:val="22"/>
                <w:szCs w:val="22"/>
                <w:highlight w:val="none"/>
              </w:rPr>
              <w:t>3</w:t>
            </w:r>
          </w:p>
        </w:tc>
        <w:tc>
          <w:tcPr>
            <w:tcW w:w="1584" w:type="dxa"/>
            <w:gridSpan w:val="3"/>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hint="eastAsia" w:ascii="Times New Roman" w:hAnsi="Times New Roman"/>
                <w:highlight w:val="none"/>
              </w:rPr>
            </w:pPr>
            <w:r>
              <w:rPr>
                <w:rFonts w:hint="eastAsia" w:ascii="仿宋" w:hAnsi="仿宋" w:eastAsia="仿宋"/>
                <w:spacing w:val="2"/>
                <w:sz w:val="22"/>
                <w:szCs w:val="22"/>
                <w:highlight w:val="none"/>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397" w:hRule="atLeast"/>
          <w:jc w:val="center"/>
        </w:trPr>
        <w:tc>
          <w:tcPr>
            <w:tcW w:w="807" w:type="dxa"/>
            <w:vMerge w:val="continue"/>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tc>
        <w:tc>
          <w:tcPr>
            <w:tcW w:w="1604" w:type="dxa"/>
            <w:vMerge w:val="restart"/>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Times New Roman" w:hAnsi="Times New Roman"/>
                <w:highlight w:val="none"/>
              </w:rPr>
              <w:t>青年教师教学技能大赛（课程思政大赛）</w:t>
            </w:r>
          </w:p>
        </w:tc>
        <w:tc>
          <w:tcPr>
            <w:tcW w:w="2974" w:type="dxa"/>
            <w:gridSpan w:val="2"/>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Times New Roman" w:hAnsi="Times New Roman"/>
                <w:highlight w:val="none"/>
              </w:rPr>
              <w:t>一等奖</w:t>
            </w:r>
          </w:p>
        </w:tc>
        <w:tc>
          <w:tcPr>
            <w:tcW w:w="1570" w:type="dxa"/>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仿宋" w:hAnsi="仿宋" w:eastAsia="仿宋"/>
                <w:b/>
                <w:bCs/>
                <w:spacing w:val="-15"/>
                <w:sz w:val="24"/>
                <w:highlight w:val="none"/>
              </w:rPr>
              <w:t>18</w:t>
            </w:r>
          </w:p>
        </w:tc>
        <w:tc>
          <w:tcPr>
            <w:tcW w:w="1579" w:type="dxa"/>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仿宋" w:hAnsi="仿宋" w:eastAsia="仿宋"/>
                <w:b/>
                <w:bCs/>
                <w:sz w:val="24"/>
                <w:highlight w:val="none"/>
              </w:rPr>
              <w:t>14</w:t>
            </w:r>
          </w:p>
        </w:tc>
        <w:tc>
          <w:tcPr>
            <w:tcW w:w="1584" w:type="dxa"/>
            <w:gridSpan w:val="3"/>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仿宋" w:hAnsi="仿宋" w:eastAsia="仿宋"/>
                <w:b/>
                <w:bCs/>
                <w:sz w:val="24"/>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397" w:hRule="atLeast"/>
          <w:jc w:val="center"/>
        </w:trPr>
        <w:tc>
          <w:tcPr>
            <w:tcW w:w="807" w:type="dxa"/>
            <w:vMerge w:val="continue"/>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tc>
        <w:tc>
          <w:tcPr>
            <w:tcW w:w="1604" w:type="dxa"/>
            <w:vMerge w:val="continue"/>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p>
        </w:tc>
        <w:tc>
          <w:tcPr>
            <w:tcW w:w="2974" w:type="dxa"/>
            <w:gridSpan w:val="2"/>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Times New Roman" w:hAnsi="Times New Roman"/>
                <w:highlight w:val="none"/>
              </w:rPr>
              <w:t>二等奖</w:t>
            </w:r>
          </w:p>
        </w:tc>
        <w:tc>
          <w:tcPr>
            <w:tcW w:w="1570" w:type="dxa"/>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仿宋" w:hAnsi="仿宋" w:eastAsia="仿宋"/>
                <w:spacing w:val="-17"/>
                <w:sz w:val="24"/>
                <w:highlight w:val="none"/>
              </w:rPr>
              <w:t>14</w:t>
            </w:r>
          </w:p>
        </w:tc>
        <w:tc>
          <w:tcPr>
            <w:tcW w:w="1579" w:type="dxa"/>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仿宋" w:hAnsi="仿宋" w:eastAsia="仿宋"/>
                <w:spacing w:val="-17"/>
                <w:sz w:val="24"/>
                <w:highlight w:val="none"/>
              </w:rPr>
              <w:t>10</w:t>
            </w:r>
          </w:p>
        </w:tc>
        <w:tc>
          <w:tcPr>
            <w:tcW w:w="1584" w:type="dxa"/>
            <w:gridSpan w:val="3"/>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仿宋" w:hAnsi="仿宋" w:eastAsia="仿宋"/>
                <w:spacing w:val="-17"/>
                <w:sz w:val="24"/>
                <w:highlight w:val="none"/>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07" w:type="dxa"/>
            <w:vMerge w:val="continue"/>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tc>
        <w:tc>
          <w:tcPr>
            <w:tcW w:w="1604" w:type="dxa"/>
            <w:vMerge w:val="continue"/>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p>
        </w:tc>
        <w:tc>
          <w:tcPr>
            <w:tcW w:w="2974" w:type="dxa"/>
            <w:gridSpan w:val="2"/>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Times New Roman" w:hAnsi="Times New Roman"/>
                <w:highlight w:val="none"/>
              </w:rPr>
              <w:t>三等奖</w:t>
            </w:r>
          </w:p>
        </w:tc>
        <w:tc>
          <w:tcPr>
            <w:tcW w:w="1570" w:type="dxa"/>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仿宋" w:hAnsi="仿宋" w:eastAsia="仿宋"/>
                <w:spacing w:val="-17"/>
                <w:sz w:val="24"/>
                <w:highlight w:val="none"/>
              </w:rPr>
              <w:t>10</w:t>
            </w:r>
          </w:p>
        </w:tc>
        <w:tc>
          <w:tcPr>
            <w:tcW w:w="1579" w:type="dxa"/>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仿宋" w:hAnsi="仿宋" w:eastAsia="仿宋"/>
                <w:sz w:val="24"/>
                <w:highlight w:val="none"/>
              </w:rPr>
              <w:t>8</w:t>
            </w:r>
          </w:p>
        </w:tc>
        <w:tc>
          <w:tcPr>
            <w:tcW w:w="1584" w:type="dxa"/>
            <w:gridSpan w:val="3"/>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仿宋" w:hAnsi="仿宋" w:eastAsia="仿宋"/>
                <w:sz w:val="24"/>
                <w:highlight w:val="none"/>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07" w:type="dxa"/>
            <w:vMerge w:val="continue"/>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tc>
        <w:tc>
          <w:tcPr>
            <w:tcW w:w="1604" w:type="dxa"/>
            <w:vMerge w:val="continue"/>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p>
        </w:tc>
        <w:tc>
          <w:tcPr>
            <w:tcW w:w="2974" w:type="dxa"/>
            <w:gridSpan w:val="2"/>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Times New Roman" w:hAnsi="Times New Roman"/>
                <w:highlight w:val="none"/>
              </w:rPr>
              <w:t>优秀奖</w:t>
            </w:r>
          </w:p>
        </w:tc>
        <w:tc>
          <w:tcPr>
            <w:tcW w:w="1570" w:type="dxa"/>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仿宋" w:hAnsi="仿宋" w:eastAsia="仿宋"/>
                <w:sz w:val="24"/>
                <w:highlight w:val="none"/>
              </w:rPr>
              <w:t>8</w:t>
            </w:r>
          </w:p>
        </w:tc>
        <w:tc>
          <w:tcPr>
            <w:tcW w:w="1579" w:type="dxa"/>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仿宋" w:hAnsi="仿宋" w:eastAsia="仿宋"/>
                <w:sz w:val="24"/>
                <w:highlight w:val="none"/>
              </w:rPr>
              <w:t>6</w:t>
            </w:r>
          </w:p>
        </w:tc>
        <w:tc>
          <w:tcPr>
            <w:tcW w:w="1584" w:type="dxa"/>
            <w:gridSpan w:val="3"/>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仿宋" w:hAnsi="仿宋" w:eastAsia="仿宋"/>
                <w:sz w:val="24"/>
                <w:highlight w:val="none"/>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8" w:hRule="atLeast"/>
          <w:jc w:val="center"/>
        </w:trPr>
        <w:tc>
          <w:tcPr>
            <w:tcW w:w="807" w:type="dxa"/>
            <w:vMerge w:val="continue"/>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tc>
        <w:tc>
          <w:tcPr>
            <w:tcW w:w="3130" w:type="dxa"/>
            <w:gridSpan w:val="2"/>
            <w:vMerge w:val="restart"/>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Times New Roman" w:hAnsi="Times New Roman"/>
                <w:highlight w:val="none"/>
              </w:rPr>
              <w:t>大学生创新创业训练计划指导教师</w:t>
            </w:r>
          </w:p>
        </w:tc>
        <w:tc>
          <w:tcPr>
            <w:tcW w:w="1448" w:type="dxa"/>
            <w:vMerge w:val="restart"/>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Times New Roman" w:hAnsi="Times New Roman"/>
                <w:highlight w:val="none"/>
              </w:rPr>
              <w:t>结题</w:t>
            </w:r>
          </w:p>
        </w:tc>
        <w:tc>
          <w:tcPr>
            <w:tcW w:w="1570" w:type="dxa"/>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Times New Roman" w:hAnsi="Times New Roman"/>
                <w:highlight w:val="none"/>
              </w:rPr>
              <w:t>优秀</w:t>
            </w:r>
            <w:r>
              <w:rPr>
                <w:rFonts w:ascii="Times New Roman" w:hAnsi="Times New Roman"/>
                <w:highlight w:val="none"/>
              </w:rPr>
              <w:t>/</w:t>
            </w:r>
            <w:r>
              <w:rPr>
                <w:rFonts w:hint="eastAsia" w:ascii="Times New Roman" w:hAnsi="Times New Roman"/>
                <w:highlight w:val="none"/>
              </w:rPr>
              <w:t>良好</w:t>
            </w:r>
            <w:r>
              <w:rPr>
                <w:rFonts w:ascii="Times New Roman" w:hAnsi="Times New Roman"/>
                <w:highlight w:val="none"/>
              </w:rPr>
              <w:t>/</w:t>
            </w:r>
          </w:p>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Times New Roman" w:hAnsi="Times New Roman"/>
                <w:highlight w:val="none"/>
              </w:rPr>
              <w:t>合格</w:t>
            </w:r>
          </w:p>
        </w:tc>
        <w:tc>
          <w:tcPr>
            <w:tcW w:w="1579" w:type="dxa"/>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Times New Roman" w:hAnsi="Times New Roman"/>
                <w:highlight w:val="none"/>
              </w:rPr>
              <w:t>优秀</w:t>
            </w:r>
            <w:r>
              <w:rPr>
                <w:rFonts w:ascii="Times New Roman" w:hAnsi="Times New Roman"/>
                <w:highlight w:val="none"/>
              </w:rPr>
              <w:t>/</w:t>
            </w:r>
            <w:r>
              <w:rPr>
                <w:rFonts w:hint="eastAsia" w:ascii="Times New Roman" w:hAnsi="Times New Roman"/>
                <w:highlight w:val="none"/>
              </w:rPr>
              <w:t>良好</w:t>
            </w:r>
            <w:r>
              <w:rPr>
                <w:rFonts w:ascii="Times New Roman" w:hAnsi="Times New Roman"/>
                <w:highlight w:val="none"/>
              </w:rPr>
              <w:t>/</w:t>
            </w:r>
          </w:p>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Times New Roman" w:hAnsi="Times New Roman"/>
                <w:highlight w:val="none"/>
              </w:rPr>
              <w:t>合格</w:t>
            </w:r>
          </w:p>
        </w:tc>
        <w:tc>
          <w:tcPr>
            <w:tcW w:w="1584" w:type="dxa"/>
            <w:gridSpan w:val="3"/>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Times New Roman" w:hAnsi="Times New Roman"/>
                <w:highlight w:val="none"/>
              </w:rPr>
              <w:t>优秀</w:t>
            </w:r>
            <w:r>
              <w:rPr>
                <w:rFonts w:ascii="Times New Roman" w:hAnsi="Times New Roman"/>
                <w:highlight w:val="none"/>
              </w:rPr>
              <w:t>/</w:t>
            </w:r>
            <w:r>
              <w:rPr>
                <w:rFonts w:hint="eastAsia" w:ascii="Times New Roman" w:hAnsi="Times New Roman"/>
                <w:highlight w:val="none"/>
              </w:rPr>
              <w:t>良好</w:t>
            </w:r>
            <w:r>
              <w:rPr>
                <w:rFonts w:ascii="Times New Roman" w:hAnsi="Times New Roman"/>
                <w:highlight w:val="none"/>
              </w:rPr>
              <w:t>/</w:t>
            </w:r>
          </w:p>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Times New Roman" w:hAnsi="Times New Roman"/>
                <w:highlight w:val="none"/>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7" w:type="dxa"/>
            <w:vMerge w:val="continue"/>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tc>
        <w:tc>
          <w:tcPr>
            <w:tcW w:w="3130" w:type="dxa"/>
            <w:gridSpan w:val="2"/>
            <w:vMerge w:val="continue"/>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p>
        </w:tc>
        <w:tc>
          <w:tcPr>
            <w:tcW w:w="1448" w:type="dxa"/>
            <w:vMerge w:val="continue"/>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p>
        </w:tc>
        <w:tc>
          <w:tcPr>
            <w:tcW w:w="1570" w:type="dxa"/>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ascii="Times New Roman" w:hAnsi="Times New Roman"/>
                <w:highlight w:val="none"/>
              </w:rPr>
              <w:t>8/</w:t>
            </w:r>
            <w:r>
              <w:rPr>
                <w:rFonts w:hint="eastAsia" w:ascii="Times New Roman" w:hAnsi="Times New Roman"/>
                <w:highlight w:val="none"/>
              </w:rPr>
              <w:t>6</w:t>
            </w:r>
            <w:r>
              <w:rPr>
                <w:rFonts w:ascii="Times New Roman" w:hAnsi="Times New Roman"/>
                <w:highlight w:val="none"/>
              </w:rPr>
              <w:t>/</w:t>
            </w:r>
            <w:r>
              <w:rPr>
                <w:rFonts w:hint="eastAsia" w:ascii="Times New Roman" w:hAnsi="Times New Roman"/>
                <w:highlight w:val="none"/>
              </w:rPr>
              <w:t>4</w:t>
            </w:r>
          </w:p>
        </w:tc>
        <w:tc>
          <w:tcPr>
            <w:tcW w:w="1579" w:type="dxa"/>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Times New Roman" w:hAnsi="Times New Roman"/>
                <w:highlight w:val="none"/>
              </w:rPr>
              <w:t>7</w:t>
            </w:r>
            <w:r>
              <w:rPr>
                <w:rFonts w:ascii="Times New Roman" w:hAnsi="Times New Roman"/>
                <w:highlight w:val="none"/>
              </w:rPr>
              <w:t>/</w:t>
            </w:r>
            <w:r>
              <w:rPr>
                <w:rFonts w:hint="eastAsia" w:ascii="Times New Roman" w:hAnsi="Times New Roman"/>
                <w:highlight w:val="none"/>
              </w:rPr>
              <w:t>5/3</w:t>
            </w:r>
          </w:p>
        </w:tc>
        <w:tc>
          <w:tcPr>
            <w:tcW w:w="1584" w:type="dxa"/>
            <w:gridSpan w:val="3"/>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Times New Roman" w:hAnsi="Times New Roman"/>
                <w:highlight w:val="none"/>
              </w:rPr>
              <w:t>6</w:t>
            </w:r>
            <w:r>
              <w:rPr>
                <w:rFonts w:ascii="Times New Roman" w:hAnsi="Times New Roman"/>
                <w:highlight w:val="none"/>
              </w:rPr>
              <w:t>/</w:t>
            </w:r>
            <w:r>
              <w:rPr>
                <w:rFonts w:hint="eastAsia" w:ascii="Times New Roman" w:hAnsi="Times New Roman"/>
                <w:highlight w:val="none"/>
              </w:rPr>
              <w:t>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807" w:type="dxa"/>
            <w:vMerge w:val="continue"/>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tc>
        <w:tc>
          <w:tcPr>
            <w:tcW w:w="3130" w:type="dxa"/>
            <w:gridSpan w:val="2"/>
            <w:vMerge w:val="restart"/>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Times New Roman" w:hAnsi="Times New Roman"/>
                <w:highlight w:val="none"/>
              </w:rPr>
              <w:t>中国国际大学生创新大赛指导教师</w:t>
            </w:r>
          </w:p>
        </w:tc>
        <w:tc>
          <w:tcPr>
            <w:tcW w:w="1448" w:type="dxa"/>
            <w:vMerge w:val="restart"/>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Times New Roman" w:hAnsi="Times New Roman"/>
                <w:highlight w:val="none"/>
              </w:rPr>
              <w:t>——</w:t>
            </w:r>
          </w:p>
        </w:tc>
        <w:tc>
          <w:tcPr>
            <w:tcW w:w="1570" w:type="dxa"/>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Times New Roman" w:hAnsi="Times New Roman"/>
                <w:highlight w:val="none"/>
              </w:rPr>
              <w:t>国赛金银铜奖</w:t>
            </w:r>
          </w:p>
        </w:tc>
        <w:tc>
          <w:tcPr>
            <w:tcW w:w="1579" w:type="dxa"/>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Times New Roman" w:hAnsi="Times New Roman"/>
                <w:highlight w:val="none"/>
              </w:rPr>
              <w:t>省赛金银铜、</w:t>
            </w:r>
          </w:p>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Times New Roman" w:hAnsi="Times New Roman"/>
                <w:highlight w:val="none"/>
              </w:rPr>
              <w:t>优秀奖</w:t>
            </w:r>
          </w:p>
        </w:tc>
        <w:tc>
          <w:tcPr>
            <w:tcW w:w="1584" w:type="dxa"/>
            <w:gridSpan w:val="3"/>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Times New Roman" w:hAnsi="Times New Roman"/>
                <w:highlight w:val="none"/>
              </w:rPr>
              <w:t>校赛金银铜、</w:t>
            </w:r>
          </w:p>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Times New Roman" w:hAnsi="Times New Roman"/>
                <w:highlight w:val="none"/>
              </w:rPr>
              <w:t>优秀奖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510" w:hRule="atLeast"/>
          <w:jc w:val="center"/>
        </w:trPr>
        <w:tc>
          <w:tcPr>
            <w:tcW w:w="807" w:type="dxa"/>
            <w:vMerge w:val="continue"/>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tc>
        <w:tc>
          <w:tcPr>
            <w:tcW w:w="3130" w:type="dxa"/>
            <w:gridSpan w:val="2"/>
            <w:vMerge w:val="continue"/>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p>
        </w:tc>
        <w:tc>
          <w:tcPr>
            <w:tcW w:w="1448" w:type="dxa"/>
            <w:vMerge w:val="continue"/>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p>
        </w:tc>
        <w:tc>
          <w:tcPr>
            <w:tcW w:w="1570" w:type="dxa"/>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Times New Roman" w:hAnsi="Times New Roman"/>
                <w:highlight w:val="none"/>
              </w:rPr>
              <w:t>14/12/11</w:t>
            </w:r>
          </w:p>
        </w:tc>
        <w:tc>
          <w:tcPr>
            <w:tcW w:w="1579" w:type="dxa"/>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Times New Roman" w:hAnsi="Times New Roman"/>
                <w:highlight w:val="none"/>
              </w:rPr>
              <w:t>10/8/6/4</w:t>
            </w:r>
          </w:p>
        </w:tc>
        <w:tc>
          <w:tcPr>
            <w:tcW w:w="1584" w:type="dxa"/>
            <w:gridSpan w:val="3"/>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Times New Roman" w:hAnsi="Times New Roman"/>
                <w:highlight w:val="none"/>
              </w:rPr>
              <w:t>6/4/3/1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7" w:type="dxa"/>
            <w:vMerge w:val="continue"/>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tc>
        <w:tc>
          <w:tcPr>
            <w:tcW w:w="3130" w:type="dxa"/>
            <w:gridSpan w:val="2"/>
            <w:vMerge w:val="restart"/>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Times New Roman" w:hAnsi="Times New Roman"/>
                <w:highlight w:val="none"/>
              </w:rPr>
              <w:t>挑战杯指导教师</w:t>
            </w:r>
          </w:p>
        </w:tc>
        <w:tc>
          <w:tcPr>
            <w:tcW w:w="1448" w:type="dxa"/>
            <w:vMerge w:val="restart"/>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Times New Roman" w:hAnsi="Times New Roman"/>
                <w:highlight w:val="none"/>
              </w:rPr>
              <w:t>——</w:t>
            </w:r>
          </w:p>
        </w:tc>
        <w:tc>
          <w:tcPr>
            <w:tcW w:w="1570" w:type="dxa"/>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Times New Roman" w:hAnsi="Times New Roman"/>
                <w:highlight w:val="none"/>
              </w:rPr>
              <w:t>国家级一等奖二等奖三等奖</w:t>
            </w:r>
          </w:p>
        </w:tc>
        <w:tc>
          <w:tcPr>
            <w:tcW w:w="1579" w:type="dxa"/>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Times New Roman" w:hAnsi="Times New Roman"/>
                <w:highlight w:val="none"/>
              </w:rPr>
              <w:t>自治区级特等奖一等奖二等奖三等奖</w:t>
            </w:r>
          </w:p>
        </w:tc>
        <w:tc>
          <w:tcPr>
            <w:tcW w:w="1584" w:type="dxa"/>
            <w:gridSpan w:val="3"/>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Times New Roman" w:hAnsi="Times New Roman"/>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510" w:hRule="atLeast"/>
          <w:jc w:val="center"/>
        </w:trPr>
        <w:tc>
          <w:tcPr>
            <w:tcW w:w="807" w:type="dxa"/>
            <w:vMerge w:val="continue"/>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tc>
        <w:tc>
          <w:tcPr>
            <w:tcW w:w="3130" w:type="dxa"/>
            <w:gridSpan w:val="2"/>
            <w:vMerge w:val="continue"/>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p>
        </w:tc>
        <w:tc>
          <w:tcPr>
            <w:tcW w:w="1448" w:type="dxa"/>
            <w:vMerge w:val="continue"/>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p>
        </w:tc>
        <w:tc>
          <w:tcPr>
            <w:tcW w:w="1570" w:type="dxa"/>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Times New Roman" w:hAnsi="Times New Roman"/>
                <w:highlight w:val="none"/>
              </w:rPr>
              <w:t>10/8/6</w:t>
            </w:r>
          </w:p>
        </w:tc>
        <w:tc>
          <w:tcPr>
            <w:tcW w:w="1579" w:type="dxa"/>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Times New Roman" w:hAnsi="Times New Roman"/>
                <w:highlight w:val="none"/>
              </w:rPr>
              <w:t>5/4/3/2</w:t>
            </w:r>
          </w:p>
        </w:tc>
        <w:tc>
          <w:tcPr>
            <w:tcW w:w="1584" w:type="dxa"/>
            <w:gridSpan w:val="3"/>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Times New Roman" w:hAnsi="Times New Roman"/>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7" w:type="dxa"/>
            <w:vMerge w:val="continue"/>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tc>
        <w:tc>
          <w:tcPr>
            <w:tcW w:w="3130" w:type="dxa"/>
            <w:gridSpan w:val="2"/>
            <w:vMerge w:val="restart"/>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Times New Roman" w:hAnsi="Times New Roman"/>
                <w:highlight w:val="none"/>
              </w:rPr>
              <w:t>大学生职业生涯规划大赛指导教师</w:t>
            </w:r>
          </w:p>
        </w:tc>
        <w:tc>
          <w:tcPr>
            <w:tcW w:w="1448" w:type="dxa"/>
            <w:vMerge w:val="restart"/>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Times New Roman" w:hAnsi="Times New Roman"/>
                <w:highlight w:val="none"/>
              </w:rPr>
              <w:t>——</w:t>
            </w:r>
          </w:p>
        </w:tc>
        <w:tc>
          <w:tcPr>
            <w:tcW w:w="1570" w:type="dxa"/>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Times New Roman" w:hAnsi="Times New Roman"/>
                <w:highlight w:val="none"/>
              </w:rPr>
              <w:t>国家级金银铜奖</w:t>
            </w:r>
          </w:p>
        </w:tc>
        <w:tc>
          <w:tcPr>
            <w:tcW w:w="1579" w:type="dxa"/>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Times New Roman" w:hAnsi="Times New Roman"/>
                <w:highlight w:val="none"/>
              </w:rPr>
              <w:t>自治区级金银铜奖</w:t>
            </w:r>
          </w:p>
        </w:tc>
        <w:tc>
          <w:tcPr>
            <w:tcW w:w="1584" w:type="dxa"/>
            <w:gridSpan w:val="3"/>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Times New Roman" w:hAnsi="Times New Roman"/>
                <w:highlight w:val="none"/>
              </w:rPr>
              <w:t>校级金奖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7" w:type="dxa"/>
            <w:vMerge w:val="continue"/>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tc>
        <w:tc>
          <w:tcPr>
            <w:tcW w:w="3130" w:type="dxa"/>
            <w:gridSpan w:val="2"/>
            <w:vMerge w:val="continue"/>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p>
        </w:tc>
        <w:tc>
          <w:tcPr>
            <w:tcW w:w="1448" w:type="dxa"/>
            <w:vMerge w:val="continue"/>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p>
        </w:tc>
        <w:tc>
          <w:tcPr>
            <w:tcW w:w="1570" w:type="dxa"/>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Times New Roman" w:hAnsi="Times New Roman"/>
                <w:highlight w:val="none"/>
              </w:rPr>
              <w:t>8/7/6</w:t>
            </w:r>
          </w:p>
        </w:tc>
        <w:tc>
          <w:tcPr>
            <w:tcW w:w="1579" w:type="dxa"/>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Times New Roman" w:hAnsi="Times New Roman"/>
                <w:highlight w:val="none"/>
              </w:rPr>
              <w:t>5/4/3</w:t>
            </w:r>
          </w:p>
        </w:tc>
        <w:tc>
          <w:tcPr>
            <w:tcW w:w="1584" w:type="dxa"/>
            <w:gridSpan w:val="3"/>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Times New Roman" w:hAnsi="Times New Roman"/>
                <w:highlight w:val="none"/>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510" w:hRule="atLeast"/>
          <w:jc w:val="center"/>
        </w:trPr>
        <w:tc>
          <w:tcPr>
            <w:tcW w:w="807" w:type="dxa"/>
            <w:vMerge w:val="continue"/>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tc>
        <w:tc>
          <w:tcPr>
            <w:tcW w:w="3130" w:type="dxa"/>
            <w:gridSpan w:val="2"/>
            <w:vMerge w:val="restart"/>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Times New Roman" w:hAnsi="Times New Roman"/>
                <w:highlight w:val="none"/>
              </w:rPr>
              <w:t>入选高校“活力社团”TOP100榜单社团指导教师</w:t>
            </w:r>
          </w:p>
        </w:tc>
        <w:tc>
          <w:tcPr>
            <w:tcW w:w="1448" w:type="dxa"/>
            <w:vMerge w:val="restart"/>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Times New Roman" w:hAnsi="Times New Roman"/>
                <w:highlight w:val="none"/>
              </w:rPr>
              <w:t>——</w:t>
            </w:r>
          </w:p>
        </w:tc>
        <w:tc>
          <w:tcPr>
            <w:tcW w:w="1570" w:type="dxa"/>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Times New Roman" w:hAnsi="Times New Roman"/>
                <w:highlight w:val="none"/>
              </w:rPr>
              <w:t>国家级</w:t>
            </w:r>
          </w:p>
        </w:tc>
        <w:tc>
          <w:tcPr>
            <w:tcW w:w="1579" w:type="dxa"/>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Times New Roman" w:hAnsi="Times New Roman"/>
                <w:highlight w:val="none"/>
              </w:rPr>
              <w:t>自治区级</w:t>
            </w:r>
          </w:p>
        </w:tc>
        <w:tc>
          <w:tcPr>
            <w:tcW w:w="1584" w:type="dxa"/>
            <w:gridSpan w:val="3"/>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Times New Roman" w:hAnsi="Times New Roman"/>
                <w:highlight w:val="none"/>
              </w:rPr>
              <w:t>校级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7" w:type="dxa"/>
            <w:vMerge w:val="continue"/>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tc>
        <w:tc>
          <w:tcPr>
            <w:tcW w:w="3130" w:type="dxa"/>
            <w:gridSpan w:val="2"/>
            <w:vMerge w:val="continue"/>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p>
        </w:tc>
        <w:tc>
          <w:tcPr>
            <w:tcW w:w="1448" w:type="dxa"/>
            <w:vMerge w:val="continue"/>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p>
        </w:tc>
        <w:tc>
          <w:tcPr>
            <w:tcW w:w="1570" w:type="dxa"/>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Times New Roman" w:hAnsi="Times New Roman"/>
                <w:highlight w:val="none"/>
              </w:rPr>
              <w:t>5</w:t>
            </w:r>
          </w:p>
        </w:tc>
        <w:tc>
          <w:tcPr>
            <w:tcW w:w="1579" w:type="dxa"/>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Times New Roman" w:hAnsi="Times New Roman"/>
                <w:highlight w:val="none"/>
              </w:rPr>
              <w:t>3</w:t>
            </w:r>
          </w:p>
        </w:tc>
        <w:tc>
          <w:tcPr>
            <w:tcW w:w="1584" w:type="dxa"/>
            <w:gridSpan w:val="3"/>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Times New Roman" w:hAnsi="Times New Roman"/>
                <w:highlight w:val="none"/>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510" w:hRule="atLeast"/>
          <w:jc w:val="center"/>
        </w:trPr>
        <w:tc>
          <w:tcPr>
            <w:tcW w:w="807" w:type="dxa"/>
            <w:vMerge w:val="continue"/>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tc>
        <w:tc>
          <w:tcPr>
            <w:tcW w:w="3130" w:type="dxa"/>
            <w:gridSpan w:val="2"/>
            <w:vMerge w:val="restart"/>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Times New Roman" w:hAnsi="Times New Roman"/>
                <w:highlight w:val="none"/>
              </w:rPr>
              <w:t>研究生科研创新项目</w:t>
            </w:r>
          </w:p>
        </w:tc>
        <w:tc>
          <w:tcPr>
            <w:tcW w:w="4597" w:type="dxa"/>
            <w:gridSpan w:val="3"/>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Times New Roman" w:hAnsi="Times New Roman"/>
                <w:highlight w:val="none"/>
              </w:rPr>
              <w:t>立项</w:t>
            </w:r>
          </w:p>
        </w:tc>
        <w:tc>
          <w:tcPr>
            <w:tcW w:w="508" w:type="dxa"/>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Times New Roman" w:hAnsi="Times New Roman"/>
                <w:highlight w:val="none"/>
              </w:rPr>
              <w:t>—</w:t>
            </w:r>
          </w:p>
        </w:tc>
        <w:tc>
          <w:tcPr>
            <w:tcW w:w="571" w:type="dxa"/>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Times New Roman" w:hAnsi="Times New Roman"/>
                <w:highlight w:val="none"/>
              </w:rPr>
              <w:t>4</w:t>
            </w:r>
          </w:p>
        </w:tc>
        <w:tc>
          <w:tcPr>
            <w:tcW w:w="505" w:type="dxa"/>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Times New Roman" w:hAnsi="Times New Roman"/>
                <w:highlight w:val="none"/>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807" w:type="dxa"/>
            <w:vMerge w:val="continue"/>
            <w:shd w:val="clear" w:color="auto" w:fill="FFFFFF"/>
            <w:noWrap w:val="0"/>
            <w:vAlign w:val="top"/>
          </w:tcPr>
          <w:p>
            <w:pPr>
              <w:pageBreakBefore w:val="0"/>
              <w:kinsoku/>
              <w:wordWrap/>
              <w:overflowPunct/>
              <w:topLinePunct w:val="0"/>
              <w:autoSpaceDE/>
              <w:autoSpaceDN/>
              <w:bidi w:val="0"/>
              <w:spacing w:line="560" w:lineRule="exact"/>
              <w:jc w:val="center"/>
              <w:textAlignment w:val="auto"/>
              <w:rPr>
                <w:rFonts w:ascii="Times New Roman" w:hAnsi="Times New Roman"/>
                <w:i/>
                <w:iCs/>
                <w:highlight w:val="none"/>
              </w:rPr>
            </w:pPr>
          </w:p>
        </w:tc>
        <w:tc>
          <w:tcPr>
            <w:tcW w:w="3130" w:type="dxa"/>
            <w:gridSpan w:val="2"/>
            <w:vMerge w:val="continue"/>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p>
        </w:tc>
        <w:tc>
          <w:tcPr>
            <w:tcW w:w="4597" w:type="dxa"/>
            <w:gridSpan w:val="3"/>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Times New Roman" w:hAnsi="Times New Roman"/>
                <w:highlight w:val="none"/>
              </w:rPr>
              <w:t>结项</w:t>
            </w:r>
          </w:p>
        </w:tc>
        <w:tc>
          <w:tcPr>
            <w:tcW w:w="508" w:type="dxa"/>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Times New Roman" w:hAnsi="Times New Roman"/>
                <w:highlight w:val="none"/>
              </w:rPr>
              <w:t>—</w:t>
            </w:r>
          </w:p>
        </w:tc>
        <w:tc>
          <w:tcPr>
            <w:tcW w:w="571" w:type="dxa"/>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Times New Roman" w:hAnsi="Times New Roman"/>
                <w:highlight w:val="none"/>
              </w:rPr>
              <w:t>4</w:t>
            </w:r>
          </w:p>
        </w:tc>
        <w:tc>
          <w:tcPr>
            <w:tcW w:w="505" w:type="dxa"/>
            <w:shd w:val="clear" w:color="auto" w:fill="FFFFFF"/>
            <w:noWrap w:val="0"/>
            <w:vAlign w:val="center"/>
          </w:tcPr>
          <w:p>
            <w:pPr>
              <w:pageBreakBefore w:val="0"/>
              <w:kinsoku/>
              <w:wordWrap/>
              <w:overflowPunct/>
              <w:topLinePunct w:val="0"/>
              <w:autoSpaceDE/>
              <w:autoSpaceDN/>
              <w:bidi w:val="0"/>
              <w:spacing w:line="560" w:lineRule="exact"/>
              <w:jc w:val="center"/>
              <w:textAlignment w:val="auto"/>
              <w:rPr>
                <w:rFonts w:ascii="Times New Roman" w:hAnsi="Times New Roman"/>
                <w:highlight w:val="none"/>
              </w:rPr>
            </w:pPr>
            <w:r>
              <w:rPr>
                <w:rFonts w:hint="eastAsia" w:ascii="Times New Roman" w:hAnsi="Times New Roman"/>
                <w:highlight w:val="none"/>
              </w:rPr>
              <w:t>2</w:t>
            </w:r>
          </w:p>
        </w:tc>
      </w:tr>
    </w:tbl>
    <w:p>
      <w:pPr>
        <w:pageBreakBefore w:val="0"/>
        <w:kinsoku/>
        <w:wordWrap/>
        <w:overflowPunct/>
        <w:topLinePunct w:val="0"/>
        <w:autoSpaceDE/>
        <w:autoSpaceDN/>
        <w:bidi w:val="0"/>
        <w:spacing w:line="560" w:lineRule="exact"/>
        <w:textAlignment w:val="auto"/>
        <w:rPr>
          <w:rFonts w:ascii="黑体" w:hAnsi="黑体" w:eastAsia="黑体" w:cs="黑体"/>
          <w:sz w:val="32"/>
          <w:szCs w:val="32"/>
          <w:highlight w:val="none"/>
        </w:rPr>
      </w:pPr>
    </w:p>
    <w:p>
      <w:pPr>
        <w:pageBreakBefore w:val="0"/>
        <w:numPr>
          <w:ilvl w:val="0"/>
          <w:numId w:val="4"/>
        </w:numPr>
        <w:kinsoku/>
        <w:wordWrap/>
        <w:overflowPunct/>
        <w:topLinePunct w:val="0"/>
        <w:autoSpaceDE/>
        <w:autoSpaceDN/>
        <w:bidi w:val="0"/>
        <w:spacing w:line="560" w:lineRule="exact"/>
        <w:textAlignment w:val="auto"/>
        <w:rPr>
          <w:rFonts w:ascii="黑体" w:hAnsi="黑体" w:eastAsia="黑体" w:cs="黑体"/>
          <w:sz w:val="32"/>
          <w:szCs w:val="32"/>
          <w:highlight w:val="none"/>
        </w:rPr>
      </w:pPr>
      <w:r>
        <w:rPr>
          <w:rFonts w:hint="eastAsia" w:ascii="黑体" w:hAnsi="黑体" w:eastAsia="黑体" w:cs="黑体"/>
          <w:sz w:val="32"/>
          <w:szCs w:val="32"/>
          <w:highlight w:val="none"/>
          <w:lang w:val="en-US" w:eastAsia="zh-CN"/>
        </w:rPr>
        <w:t>科研</w:t>
      </w:r>
      <w:r>
        <w:rPr>
          <w:rFonts w:hint="eastAsia" w:ascii="黑体" w:hAnsi="黑体" w:eastAsia="黑体" w:cs="黑体"/>
          <w:sz w:val="32"/>
          <w:szCs w:val="32"/>
          <w:highlight w:val="none"/>
          <w:lang w:eastAsia="zh-Hans"/>
        </w:rPr>
        <w:t>专业成果</w:t>
      </w:r>
      <w:r>
        <w:rPr>
          <w:rFonts w:hint="eastAsia" w:ascii="黑体" w:hAnsi="黑体" w:eastAsia="黑体" w:cs="黑体"/>
          <w:sz w:val="32"/>
          <w:szCs w:val="32"/>
          <w:highlight w:val="none"/>
        </w:rPr>
        <w:t>认定标准及分值</w:t>
      </w:r>
    </w:p>
    <w:p>
      <w:pPr>
        <w:pageBreakBefore w:val="0"/>
        <w:widowControl/>
        <w:kinsoku/>
        <w:wordWrap/>
        <w:overflowPunct/>
        <w:topLinePunct w:val="0"/>
        <w:autoSpaceDE/>
        <w:autoSpaceDN/>
        <w:bidi w:val="0"/>
        <w:spacing w:line="560" w:lineRule="exact"/>
        <w:ind w:firstLine="640" w:firstLineChars="200"/>
        <w:jc w:val="left"/>
        <w:textAlignment w:val="auto"/>
        <w:rPr>
          <w:rFonts w:ascii="黑体" w:hAnsi="黑体" w:eastAsia="黑体" w:cs="黑体"/>
          <w:bCs/>
          <w:kern w:val="0"/>
          <w:sz w:val="32"/>
          <w:szCs w:val="32"/>
          <w:highlight w:val="none"/>
        </w:rPr>
      </w:pPr>
      <w:r>
        <w:rPr>
          <w:rFonts w:hint="eastAsia" w:ascii="黑体" w:hAnsi="黑体" w:eastAsia="黑体" w:cs="黑体"/>
          <w:bCs/>
          <w:kern w:val="0"/>
          <w:sz w:val="32"/>
          <w:szCs w:val="32"/>
          <w:highlight w:val="none"/>
          <w:lang w:eastAsia="zh-CN"/>
        </w:rPr>
        <w:t>（</w:t>
      </w:r>
      <w:r>
        <w:rPr>
          <w:rFonts w:hint="eastAsia" w:ascii="黑体" w:hAnsi="黑体" w:eastAsia="黑体" w:cs="黑体"/>
          <w:bCs/>
          <w:kern w:val="0"/>
          <w:sz w:val="32"/>
          <w:szCs w:val="32"/>
          <w:highlight w:val="none"/>
          <w:lang w:val="en-US" w:eastAsia="zh-CN"/>
        </w:rPr>
        <w:t>一）</w:t>
      </w:r>
      <w:r>
        <w:rPr>
          <w:rFonts w:hint="eastAsia" w:ascii="黑体" w:hAnsi="黑体" w:eastAsia="黑体" w:cs="黑体"/>
          <w:bCs/>
          <w:kern w:val="0"/>
          <w:sz w:val="32"/>
          <w:szCs w:val="32"/>
          <w:highlight w:val="none"/>
        </w:rPr>
        <w:t>成果认定原则</w:t>
      </w:r>
    </w:p>
    <w:p>
      <w:pPr>
        <w:pageBreakBefore w:val="0"/>
        <w:widowControl/>
        <w:kinsoku/>
        <w:wordWrap/>
        <w:overflowPunct/>
        <w:topLinePunct w:val="0"/>
        <w:autoSpaceDE/>
        <w:autoSpaceDN/>
        <w:bidi w:val="0"/>
        <w:spacing w:line="560" w:lineRule="exact"/>
        <w:ind w:firstLine="640" w:firstLineChars="200"/>
        <w:jc w:val="left"/>
        <w:textAlignment w:val="auto"/>
        <w:rPr>
          <w:rFonts w:hint="eastAsia" w:ascii="仿宋" w:hAnsi="仿宋" w:eastAsia="仿宋" w:cs="宋体"/>
          <w:kern w:val="0"/>
          <w:sz w:val="32"/>
          <w:szCs w:val="32"/>
          <w:highlight w:val="none"/>
        </w:rPr>
      </w:pPr>
      <w:r>
        <w:rPr>
          <w:rFonts w:hint="eastAsia" w:ascii="仿宋" w:hAnsi="仿宋" w:eastAsia="仿宋" w:cs="宋体"/>
          <w:kern w:val="0"/>
          <w:sz w:val="32"/>
          <w:szCs w:val="32"/>
          <w:highlight w:val="none"/>
        </w:rPr>
        <w:t>如无特殊说明，所认定的成果均须是我校在岗教职工以我校为第一署名单位，在个人专业领域内所取得的科研成果。同一成果先后获得多项奖励，按最高等次核定，不重复计算；同一篇论文被不同的学术类期刊、专业类期刊刊载或被不同系统收录（含转载），按最高等次核定，不重复计算。</w:t>
      </w:r>
    </w:p>
    <w:p>
      <w:pPr>
        <w:pageBreakBefore w:val="0"/>
        <w:widowControl/>
        <w:kinsoku/>
        <w:wordWrap/>
        <w:overflowPunct/>
        <w:topLinePunct w:val="0"/>
        <w:autoSpaceDE/>
        <w:autoSpaceDN/>
        <w:bidi w:val="0"/>
        <w:spacing w:line="560" w:lineRule="exact"/>
        <w:ind w:firstLine="560"/>
        <w:jc w:val="left"/>
        <w:textAlignment w:val="auto"/>
        <w:rPr>
          <w:rFonts w:hint="eastAsia" w:ascii="黑体" w:hAnsi="黑体" w:eastAsia="黑体" w:cs="黑体"/>
          <w:bCs/>
          <w:kern w:val="0"/>
          <w:sz w:val="32"/>
          <w:szCs w:val="32"/>
          <w:highlight w:val="none"/>
        </w:rPr>
      </w:pPr>
      <w:r>
        <w:rPr>
          <w:rFonts w:hint="eastAsia" w:ascii="黑体" w:hAnsi="黑体" w:eastAsia="黑体" w:cs="黑体"/>
          <w:bCs/>
          <w:kern w:val="0"/>
          <w:sz w:val="32"/>
          <w:szCs w:val="32"/>
          <w:highlight w:val="none"/>
          <w:lang w:eastAsia="zh-CN"/>
        </w:rPr>
        <w:t>（</w:t>
      </w:r>
      <w:r>
        <w:rPr>
          <w:rFonts w:hint="eastAsia" w:ascii="黑体" w:hAnsi="黑体" w:eastAsia="黑体" w:cs="黑体"/>
          <w:bCs/>
          <w:kern w:val="0"/>
          <w:sz w:val="32"/>
          <w:szCs w:val="32"/>
          <w:highlight w:val="none"/>
          <w:lang w:val="en-US" w:eastAsia="zh-CN"/>
        </w:rPr>
        <w:t>二</w:t>
      </w:r>
      <w:r>
        <w:rPr>
          <w:rFonts w:hint="eastAsia" w:ascii="黑体" w:hAnsi="黑体" w:eastAsia="黑体" w:cs="黑体"/>
          <w:bCs/>
          <w:kern w:val="0"/>
          <w:sz w:val="32"/>
          <w:szCs w:val="32"/>
          <w:highlight w:val="none"/>
          <w:lang w:eastAsia="zh-CN"/>
        </w:rPr>
        <w:t>）</w:t>
      </w:r>
      <w:r>
        <w:rPr>
          <w:rFonts w:hint="eastAsia" w:ascii="黑体" w:hAnsi="黑体" w:eastAsia="黑体" w:cs="黑体"/>
          <w:bCs/>
          <w:kern w:val="0"/>
          <w:sz w:val="32"/>
          <w:szCs w:val="32"/>
          <w:highlight w:val="none"/>
        </w:rPr>
        <w:t>认定范围</w:t>
      </w:r>
    </w:p>
    <w:p>
      <w:pPr>
        <w:pageBreakBefore w:val="0"/>
        <w:kinsoku/>
        <w:wordWrap/>
        <w:overflowPunct/>
        <w:topLinePunct w:val="0"/>
        <w:autoSpaceDE/>
        <w:autoSpaceDN/>
        <w:bidi w:val="0"/>
        <w:spacing w:line="560" w:lineRule="exact"/>
        <w:ind w:firstLine="643" w:firstLineChars="200"/>
        <w:textAlignment w:val="auto"/>
        <w:rPr>
          <w:rFonts w:ascii="仿宋" w:hAnsi="仿宋" w:eastAsia="仿宋" w:cs="仿宋"/>
          <w:sz w:val="32"/>
          <w:szCs w:val="32"/>
          <w:highlight w:val="none"/>
        </w:rPr>
      </w:pPr>
      <w:bookmarkStart w:id="2" w:name="_Hlk117777831"/>
      <w:r>
        <w:rPr>
          <w:rFonts w:hint="eastAsia" w:ascii="仿宋" w:hAnsi="仿宋" w:eastAsia="仿宋" w:cs="宋体"/>
          <w:b/>
          <w:bCs/>
          <w:kern w:val="0"/>
          <w:sz w:val="32"/>
          <w:szCs w:val="32"/>
          <w:highlight w:val="none"/>
          <w:lang w:val="en-US" w:eastAsia="zh-CN"/>
        </w:rPr>
        <w:t>1.</w:t>
      </w:r>
      <w:r>
        <w:rPr>
          <w:rFonts w:hint="eastAsia" w:ascii="仿宋" w:hAnsi="仿宋" w:eastAsia="仿宋" w:cs="宋体"/>
          <w:b/>
          <w:bCs/>
          <w:kern w:val="0"/>
          <w:sz w:val="32"/>
          <w:szCs w:val="32"/>
          <w:highlight w:val="none"/>
        </w:rPr>
        <w:t>学术出版物</w:t>
      </w:r>
      <w:bookmarkEnd w:id="2"/>
      <w:r>
        <w:rPr>
          <w:rFonts w:hint="eastAsia" w:ascii="仿宋" w:hAnsi="仿宋" w:eastAsia="仿宋" w:cs="宋体"/>
          <w:b/>
          <w:bCs/>
          <w:kern w:val="0"/>
          <w:sz w:val="32"/>
          <w:szCs w:val="32"/>
          <w:highlight w:val="none"/>
        </w:rPr>
        <w:t>、研究报告</w:t>
      </w:r>
      <w:r>
        <w:rPr>
          <w:rFonts w:ascii="仿宋" w:hAnsi="仿宋" w:eastAsia="仿宋" w:cs="仿宋"/>
          <w:b/>
          <w:bCs/>
          <w:sz w:val="32"/>
          <w:szCs w:val="32"/>
          <w:highlight w:val="none"/>
        </w:rPr>
        <w:t>：</w:t>
      </w:r>
      <w:r>
        <w:rPr>
          <w:rFonts w:ascii="仿宋" w:hAnsi="仿宋" w:eastAsia="仿宋" w:cs="仿宋"/>
          <w:sz w:val="32"/>
          <w:szCs w:val="32"/>
          <w:highlight w:val="none"/>
        </w:rPr>
        <w:t>在</w:t>
      </w:r>
      <w:r>
        <w:rPr>
          <w:rFonts w:hint="eastAsia" w:ascii="仿宋" w:hAnsi="仿宋" w:eastAsia="仿宋" w:cs="仿宋"/>
          <w:sz w:val="32"/>
          <w:szCs w:val="32"/>
          <w:highlight w:val="none"/>
        </w:rPr>
        <w:t>公开</w:t>
      </w:r>
      <w:r>
        <w:rPr>
          <w:rFonts w:ascii="仿宋" w:hAnsi="仿宋" w:eastAsia="仿宋" w:cs="仿宋"/>
          <w:sz w:val="32"/>
          <w:szCs w:val="32"/>
          <w:highlight w:val="none"/>
        </w:rPr>
        <w:t>发行的报刊上发表的论文(3000字以上，指定报纸可为2000字以上</w:t>
      </w:r>
      <w:r>
        <w:rPr>
          <w:rFonts w:hint="eastAsia" w:ascii="仿宋" w:hAnsi="仿宋" w:eastAsia="仿宋" w:cs="仿宋"/>
          <w:sz w:val="32"/>
          <w:szCs w:val="32"/>
          <w:highlight w:val="none"/>
        </w:rPr>
        <w:t>。</w:t>
      </w:r>
      <w:r>
        <w:rPr>
          <w:rFonts w:ascii="仿宋" w:hAnsi="仿宋" w:eastAsia="仿宋" w:cs="仿宋"/>
          <w:sz w:val="32"/>
          <w:szCs w:val="32"/>
          <w:highlight w:val="none"/>
        </w:rPr>
        <w:t>)</w:t>
      </w:r>
      <w:r>
        <w:rPr>
          <w:rFonts w:hint="eastAsia" w:ascii="仿宋" w:hAnsi="仿宋" w:eastAsia="仿宋" w:cs="仿宋"/>
          <w:sz w:val="32"/>
          <w:szCs w:val="32"/>
          <w:highlight w:val="none"/>
        </w:rPr>
        <w:t>；</w:t>
      </w:r>
      <w:r>
        <w:rPr>
          <w:rFonts w:ascii="仿宋" w:hAnsi="仿宋" w:eastAsia="仿宋" w:cs="仿宋"/>
          <w:sz w:val="32"/>
          <w:szCs w:val="32"/>
          <w:highlight w:val="none"/>
        </w:rPr>
        <w:t>虽未发表但被政府部门采信的研究报告</w:t>
      </w:r>
      <w:r>
        <w:rPr>
          <w:rFonts w:hint="eastAsia" w:ascii="仿宋" w:hAnsi="仿宋" w:eastAsia="仿宋" w:cs="仿宋"/>
          <w:sz w:val="32"/>
          <w:szCs w:val="32"/>
          <w:highlight w:val="none"/>
        </w:rPr>
        <w:t>；公开</w:t>
      </w:r>
      <w:r>
        <w:rPr>
          <w:rFonts w:ascii="仿宋" w:hAnsi="仿宋" w:eastAsia="仿宋" w:cs="仿宋"/>
          <w:sz w:val="32"/>
          <w:szCs w:val="32"/>
          <w:highlight w:val="none"/>
        </w:rPr>
        <w:t>出版的著作</w:t>
      </w:r>
      <w:r>
        <w:rPr>
          <w:rFonts w:hint="eastAsia" w:ascii="仿宋" w:hAnsi="仿宋" w:eastAsia="仿宋" w:cs="仿宋"/>
          <w:sz w:val="32"/>
          <w:szCs w:val="32"/>
          <w:highlight w:val="none"/>
        </w:rPr>
        <w:t>。论文</w:t>
      </w:r>
      <w:r>
        <w:rPr>
          <w:rFonts w:ascii="仿宋" w:hAnsi="仿宋" w:eastAsia="仿宋" w:cs="仿宋"/>
          <w:sz w:val="32"/>
          <w:szCs w:val="32"/>
          <w:highlight w:val="none"/>
        </w:rPr>
        <w:t>和</w:t>
      </w:r>
      <w:r>
        <w:rPr>
          <w:rFonts w:hint="eastAsia" w:ascii="仿宋" w:hAnsi="仿宋" w:eastAsia="仿宋" w:cs="仿宋"/>
          <w:sz w:val="32"/>
          <w:szCs w:val="32"/>
          <w:highlight w:val="none"/>
        </w:rPr>
        <w:t>研究报告</w:t>
      </w:r>
      <w:r>
        <w:rPr>
          <w:rFonts w:ascii="仿宋" w:hAnsi="仿宋" w:eastAsia="仿宋" w:cs="仿宋"/>
          <w:sz w:val="32"/>
          <w:szCs w:val="32"/>
          <w:highlight w:val="none"/>
        </w:rPr>
        <w:t>以</w:t>
      </w:r>
      <w:r>
        <w:rPr>
          <w:rFonts w:hint="eastAsia" w:ascii="仿宋" w:hAnsi="仿宋" w:eastAsia="仿宋" w:cs="仿宋"/>
          <w:sz w:val="32"/>
          <w:szCs w:val="32"/>
          <w:highlight w:val="none"/>
        </w:rPr>
        <w:t>公开发表成果</w:t>
      </w:r>
      <w:r>
        <w:rPr>
          <w:rFonts w:ascii="仿宋" w:hAnsi="仿宋" w:eastAsia="仿宋" w:cs="仿宋"/>
          <w:sz w:val="32"/>
          <w:szCs w:val="32"/>
          <w:highlight w:val="none"/>
        </w:rPr>
        <w:t>的</w:t>
      </w:r>
      <w:r>
        <w:rPr>
          <w:rFonts w:hint="eastAsia" w:ascii="仿宋" w:hAnsi="仿宋" w:eastAsia="仿宋" w:cs="仿宋"/>
          <w:sz w:val="32"/>
          <w:szCs w:val="32"/>
          <w:highlight w:val="none"/>
        </w:rPr>
        <w:t>报刊、或公开出版的智库系列丛书、学术集刊等连续出版物、或</w:t>
      </w:r>
      <w:r>
        <w:rPr>
          <w:rFonts w:ascii="仿宋" w:hAnsi="仿宋" w:eastAsia="仿宋" w:cs="仿宋"/>
          <w:sz w:val="32"/>
          <w:szCs w:val="32"/>
          <w:highlight w:val="none"/>
        </w:rPr>
        <w:t>政府部门采信的批示原件</w:t>
      </w:r>
      <w:r>
        <w:rPr>
          <w:rFonts w:hint="eastAsia" w:ascii="仿宋" w:hAnsi="仿宋" w:eastAsia="仿宋" w:cs="仿宋"/>
          <w:sz w:val="32"/>
          <w:szCs w:val="32"/>
          <w:highlight w:val="none"/>
        </w:rPr>
        <w:t>为</w:t>
      </w:r>
      <w:r>
        <w:rPr>
          <w:rFonts w:ascii="仿宋" w:hAnsi="仿宋" w:eastAsia="仿宋" w:cs="仿宋"/>
          <w:sz w:val="32"/>
          <w:szCs w:val="32"/>
          <w:highlight w:val="none"/>
        </w:rPr>
        <w:t>认定依据</w:t>
      </w:r>
      <w:r>
        <w:rPr>
          <w:rFonts w:hint="eastAsia" w:ascii="仿宋" w:hAnsi="仿宋" w:eastAsia="仿宋" w:cs="仿宋"/>
          <w:sz w:val="32"/>
          <w:szCs w:val="32"/>
          <w:highlight w:val="none"/>
        </w:rPr>
        <w:t>，在</w:t>
      </w:r>
      <w:r>
        <w:rPr>
          <w:rFonts w:hint="eastAsia" w:ascii="仿宋" w:hAnsi="仿宋" w:eastAsia="仿宋" w:cs="宋体"/>
          <w:kern w:val="0"/>
          <w:sz w:val="32"/>
          <w:szCs w:val="32"/>
          <w:highlight w:val="none"/>
        </w:rPr>
        <w:t>公开发行期刊的增刊、套刊、子刊等发表的论文不予认定。</w:t>
      </w:r>
    </w:p>
    <w:p>
      <w:pPr>
        <w:pageBreakBefore w:val="0"/>
        <w:widowControl/>
        <w:kinsoku/>
        <w:wordWrap/>
        <w:overflowPunct/>
        <w:topLinePunct w:val="0"/>
        <w:autoSpaceDE/>
        <w:autoSpaceDN/>
        <w:bidi w:val="0"/>
        <w:spacing w:line="560" w:lineRule="exact"/>
        <w:ind w:firstLine="643" w:firstLineChars="200"/>
        <w:textAlignment w:val="auto"/>
        <w:rPr>
          <w:rFonts w:ascii="仿宋" w:hAnsi="仿宋" w:eastAsia="仿宋" w:cs="宋体"/>
          <w:kern w:val="0"/>
          <w:sz w:val="32"/>
          <w:szCs w:val="32"/>
          <w:highlight w:val="none"/>
        </w:rPr>
      </w:pPr>
      <w:r>
        <w:rPr>
          <w:rFonts w:hint="eastAsia" w:ascii="仿宋" w:hAnsi="仿宋" w:eastAsia="仿宋" w:cs="宋体"/>
          <w:b/>
          <w:kern w:val="0"/>
          <w:sz w:val="32"/>
          <w:szCs w:val="32"/>
          <w:highlight w:val="none"/>
          <w:lang w:val="en-US" w:eastAsia="zh-CN"/>
        </w:rPr>
        <w:t>2.</w:t>
      </w:r>
      <w:r>
        <w:rPr>
          <w:rFonts w:ascii="仿宋" w:hAnsi="仿宋" w:eastAsia="仿宋" w:cs="宋体"/>
          <w:b/>
          <w:kern w:val="0"/>
          <w:sz w:val="32"/>
          <w:szCs w:val="32"/>
          <w:highlight w:val="none"/>
        </w:rPr>
        <w:t>获奖认定</w:t>
      </w:r>
      <w:r>
        <w:rPr>
          <w:rFonts w:hint="eastAsia" w:ascii="仿宋" w:hAnsi="仿宋" w:eastAsia="仿宋" w:cs="宋体"/>
          <w:b/>
          <w:kern w:val="0"/>
          <w:sz w:val="32"/>
          <w:szCs w:val="32"/>
          <w:highlight w:val="none"/>
        </w:rPr>
        <w:t>：</w:t>
      </w:r>
      <w:bookmarkStart w:id="3" w:name="_Hlk142234511"/>
      <w:r>
        <w:rPr>
          <w:rFonts w:hint="eastAsia" w:ascii="仿宋" w:hAnsi="仿宋" w:eastAsia="仿宋" w:cs="宋体"/>
          <w:bCs/>
          <w:kern w:val="0"/>
          <w:sz w:val="32"/>
          <w:szCs w:val="32"/>
          <w:highlight w:val="none"/>
        </w:rPr>
        <w:t>国家、部委、自治区、厅局和学校等教育、文化、宣传、科研主管部门常设的学术成果奖项，全国或省、市、自治区文联及下属协会常设的学术成果奖项。</w:t>
      </w:r>
      <w:bookmarkEnd w:id="3"/>
      <w:r>
        <w:rPr>
          <w:rFonts w:hint="eastAsia" w:ascii="仿宋" w:hAnsi="仿宋" w:eastAsia="仿宋" w:cs="宋体"/>
          <w:bCs/>
          <w:kern w:val="0"/>
          <w:sz w:val="32"/>
          <w:szCs w:val="32"/>
          <w:highlight w:val="none"/>
        </w:rPr>
        <w:t>获奖认定仅限成果获奖，不含人物获奖(称号),以获奖证书原件为认定依据。</w:t>
      </w:r>
    </w:p>
    <w:p>
      <w:pPr>
        <w:pageBreakBefore w:val="0"/>
        <w:kinsoku/>
        <w:wordWrap/>
        <w:overflowPunct/>
        <w:topLinePunct w:val="0"/>
        <w:autoSpaceDE/>
        <w:autoSpaceDN/>
        <w:bidi w:val="0"/>
        <w:spacing w:line="560" w:lineRule="exact"/>
        <w:ind w:firstLine="643" w:firstLineChars="200"/>
        <w:textAlignment w:val="auto"/>
        <w:rPr>
          <w:rFonts w:ascii="仿宋" w:hAnsi="仿宋" w:eastAsia="仿宋" w:cs="仿宋"/>
          <w:sz w:val="32"/>
          <w:szCs w:val="32"/>
          <w:highlight w:val="none"/>
        </w:rPr>
      </w:pPr>
      <w:r>
        <w:rPr>
          <w:rFonts w:hint="eastAsia" w:ascii="仿宋" w:hAnsi="仿宋" w:eastAsia="仿宋" w:cs="宋体"/>
          <w:b/>
          <w:bCs/>
          <w:kern w:val="0"/>
          <w:sz w:val="32"/>
          <w:szCs w:val="32"/>
          <w:highlight w:val="none"/>
          <w:lang w:val="en-US" w:eastAsia="zh-CN"/>
        </w:rPr>
        <w:t>3.</w:t>
      </w:r>
      <w:r>
        <w:rPr>
          <w:rFonts w:ascii="仿宋" w:hAnsi="仿宋" w:eastAsia="仿宋" w:cs="仿宋"/>
          <w:b/>
          <w:bCs/>
          <w:sz w:val="32"/>
          <w:szCs w:val="32"/>
          <w:highlight w:val="none"/>
        </w:rPr>
        <w:t>项目认定：</w:t>
      </w:r>
      <w:r>
        <w:rPr>
          <w:rFonts w:ascii="仿宋" w:hAnsi="仿宋" w:eastAsia="仿宋" w:cs="仿宋"/>
          <w:sz w:val="32"/>
          <w:szCs w:val="32"/>
          <w:highlight w:val="none"/>
        </w:rPr>
        <w:t>获得的由国家、</w:t>
      </w:r>
      <w:r>
        <w:rPr>
          <w:rFonts w:hint="eastAsia" w:ascii="仿宋" w:hAnsi="仿宋" w:eastAsia="仿宋" w:cs="仿宋"/>
          <w:sz w:val="32"/>
          <w:szCs w:val="32"/>
          <w:highlight w:val="none"/>
        </w:rPr>
        <w:t>部委</w:t>
      </w:r>
      <w:r>
        <w:rPr>
          <w:rFonts w:ascii="仿宋" w:hAnsi="仿宋" w:eastAsia="仿宋" w:cs="仿宋"/>
          <w:sz w:val="32"/>
          <w:szCs w:val="32"/>
          <w:highlight w:val="none"/>
        </w:rPr>
        <w:t>、自治区</w:t>
      </w:r>
      <w:r>
        <w:rPr>
          <w:rFonts w:hint="eastAsia" w:ascii="仿宋" w:hAnsi="仿宋" w:eastAsia="仿宋" w:cs="仿宋"/>
          <w:sz w:val="32"/>
          <w:szCs w:val="32"/>
          <w:highlight w:val="none"/>
        </w:rPr>
        <w:t>、</w:t>
      </w:r>
      <w:r>
        <w:rPr>
          <w:rFonts w:ascii="仿宋" w:hAnsi="仿宋" w:eastAsia="仿宋" w:cs="仿宋"/>
          <w:sz w:val="32"/>
          <w:szCs w:val="32"/>
          <w:highlight w:val="none"/>
        </w:rPr>
        <w:t>厅局和学校等科研主管部门立项的</w:t>
      </w:r>
      <w:r>
        <w:rPr>
          <w:rFonts w:hint="eastAsia" w:ascii="仿宋" w:hAnsi="仿宋" w:eastAsia="仿宋" w:cs="仿宋"/>
          <w:sz w:val="32"/>
          <w:szCs w:val="32"/>
          <w:highlight w:val="none"/>
        </w:rPr>
        <w:t>科研</w:t>
      </w:r>
      <w:r>
        <w:rPr>
          <w:rFonts w:ascii="仿宋" w:hAnsi="仿宋" w:eastAsia="仿宋" w:cs="仿宋"/>
          <w:sz w:val="32"/>
          <w:szCs w:val="32"/>
          <w:highlight w:val="none"/>
        </w:rPr>
        <w:t>项目</w:t>
      </w:r>
      <w:r>
        <w:rPr>
          <w:rFonts w:hint="eastAsia" w:ascii="仿宋" w:hAnsi="仿宋" w:eastAsia="仿宋" w:cs="仿宋"/>
          <w:sz w:val="32"/>
          <w:szCs w:val="32"/>
          <w:highlight w:val="none"/>
        </w:rPr>
        <w:t>；</w:t>
      </w:r>
      <w:r>
        <w:rPr>
          <w:rFonts w:ascii="仿宋" w:hAnsi="仿宋" w:eastAsia="仿宋" w:cs="仿宋"/>
          <w:sz w:val="32"/>
          <w:szCs w:val="32"/>
          <w:highlight w:val="none"/>
        </w:rPr>
        <w:t>签订正式合同、资金已划入学校财务并在科研处立项备案的横向</w:t>
      </w:r>
      <w:r>
        <w:rPr>
          <w:rFonts w:hint="eastAsia" w:ascii="仿宋" w:hAnsi="仿宋" w:eastAsia="仿宋" w:cs="仿宋"/>
          <w:sz w:val="32"/>
          <w:szCs w:val="32"/>
          <w:highlight w:val="none"/>
        </w:rPr>
        <w:t>科研</w:t>
      </w:r>
      <w:r>
        <w:rPr>
          <w:rFonts w:ascii="仿宋" w:hAnsi="仿宋" w:eastAsia="仿宋" w:cs="仿宋"/>
          <w:sz w:val="32"/>
          <w:szCs w:val="32"/>
          <w:highlight w:val="none"/>
        </w:rPr>
        <w:t>项目。项目以正式立项书、或项目委托书(正式文件或合同)、或资金到账证明</w:t>
      </w:r>
      <w:r>
        <w:rPr>
          <w:rFonts w:hint="eastAsia" w:ascii="仿宋" w:hAnsi="仿宋" w:eastAsia="仿宋" w:cs="仿宋"/>
          <w:sz w:val="32"/>
          <w:szCs w:val="32"/>
          <w:highlight w:val="none"/>
        </w:rPr>
        <w:t>（横向项目）</w:t>
      </w:r>
      <w:r>
        <w:rPr>
          <w:rFonts w:ascii="仿宋" w:hAnsi="仿宋" w:eastAsia="仿宋" w:cs="仿宋"/>
          <w:sz w:val="32"/>
          <w:szCs w:val="32"/>
          <w:highlight w:val="none"/>
        </w:rPr>
        <w:t>、或结项书等为认定依据。</w:t>
      </w:r>
    </w:p>
    <w:p>
      <w:pPr>
        <w:pageBreakBefore w:val="0"/>
        <w:widowControl/>
        <w:kinsoku/>
        <w:wordWrap/>
        <w:overflowPunct/>
        <w:topLinePunct w:val="0"/>
        <w:autoSpaceDE/>
        <w:autoSpaceDN/>
        <w:bidi w:val="0"/>
        <w:spacing w:line="560" w:lineRule="exact"/>
        <w:ind w:firstLine="643" w:firstLineChars="200"/>
        <w:jc w:val="left"/>
        <w:textAlignment w:val="auto"/>
        <w:rPr>
          <w:rFonts w:hint="eastAsia" w:ascii="仿宋" w:hAnsi="仿宋" w:eastAsia="仿宋" w:cs="宋体"/>
          <w:kern w:val="0"/>
          <w:sz w:val="32"/>
          <w:szCs w:val="32"/>
          <w:highlight w:val="none"/>
        </w:rPr>
      </w:pPr>
      <w:r>
        <w:rPr>
          <w:rFonts w:hint="eastAsia" w:ascii="仿宋" w:hAnsi="仿宋" w:eastAsia="仿宋" w:cs="宋体"/>
          <w:b/>
          <w:bCs/>
          <w:kern w:val="0"/>
          <w:sz w:val="32"/>
          <w:szCs w:val="32"/>
          <w:highlight w:val="none"/>
          <w:lang w:val="en-US" w:eastAsia="zh-CN"/>
        </w:rPr>
        <w:t>4.</w:t>
      </w:r>
      <w:r>
        <w:rPr>
          <w:rFonts w:hint="eastAsia" w:ascii="仿宋" w:hAnsi="仿宋" w:eastAsia="仿宋" w:cs="宋体"/>
          <w:b/>
          <w:bCs/>
          <w:kern w:val="0"/>
          <w:sz w:val="32"/>
          <w:szCs w:val="32"/>
          <w:highlight w:val="none"/>
        </w:rPr>
        <w:t>专利认定：</w:t>
      </w:r>
      <w:r>
        <w:rPr>
          <w:rFonts w:hint="eastAsia" w:ascii="仿宋" w:hAnsi="仿宋" w:eastAsia="仿宋" w:cs="宋体"/>
          <w:kern w:val="0"/>
          <w:sz w:val="32"/>
          <w:szCs w:val="32"/>
          <w:highlight w:val="none"/>
        </w:rPr>
        <w:t>取得的国际、国家专利认证机构授权的各类职务发明创造的专利；及由该专利持有人所完成的具有实质性经济、社会效益的生产性、应用性转让。专利以专利授权证书、国务院专利行政部门公告、专利转让合同、转让经费到账证明等为认定依据。</w:t>
      </w:r>
    </w:p>
    <w:p>
      <w:pPr>
        <w:pageBreakBefore w:val="0"/>
        <w:widowControl/>
        <w:kinsoku/>
        <w:wordWrap/>
        <w:overflowPunct/>
        <w:topLinePunct w:val="0"/>
        <w:autoSpaceDE/>
        <w:autoSpaceDN/>
        <w:bidi w:val="0"/>
        <w:spacing w:line="560" w:lineRule="exact"/>
        <w:ind w:firstLine="643" w:firstLineChars="200"/>
        <w:textAlignment w:val="auto"/>
        <w:rPr>
          <w:rFonts w:hint="eastAsia" w:ascii="仿宋" w:hAnsi="仿宋" w:eastAsia="仿宋" w:cs="宋体"/>
          <w:kern w:val="0"/>
          <w:sz w:val="32"/>
          <w:szCs w:val="32"/>
          <w:highlight w:val="none"/>
        </w:rPr>
      </w:pPr>
      <w:r>
        <w:rPr>
          <w:rFonts w:hint="eastAsia" w:ascii="仿宋" w:hAnsi="仿宋" w:eastAsia="仿宋" w:cs="宋体"/>
          <w:b/>
          <w:bCs/>
          <w:kern w:val="0"/>
          <w:sz w:val="32"/>
          <w:szCs w:val="32"/>
          <w:highlight w:val="none"/>
          <w:lang w:val="en-US" w:eastAsia="zh-CN"/>
        </w:rPr>
        <w:t>5.</w:t>
      </w:r>
      <w:r>
        <w:rPr>
          <w:rFonts w:hint="eastAsia" w:ascii="仿宋" w:hAnsi="仿宋" w:eastAsia="仿宋" w:cs="宋体"/>
          <w:b/>
          <w:bCs/>
          <w:kern w:val="0"/>
          <w:sz w:val="32"/>
          <w:szCs w:val="32"/>
          <w:highlight w:val="none"/>
        </w:rPr>
        <w:t>学术会议论文认定：</w:t>
      </w:r>
      <w:r>
        <w:rPr>
          <w:rFonts w:hint="eastAsia" w:ascii="仿宋" w:hAnsi="仿宋" w:eastAsia="仿宋" w:cs="宋体"/>
          <w:kern w:val="0"/>
          <w:sz w:val="32"/>
          <w:szCs w:val="32"/>
          <w:highlight w:val="none"/>
        </w:rPr>
        <w:t>提交省（自治区）及以上级别学术会议并在会议现场作学术报告的论文。须提供参会邀请函、会议日程表、会议议程、会议论文4项证明方予认定，会上作学术报告论文图片、论文集或会议综述可作为辅助支撑材料。会议论文如未在报刊公开发表，须由科研处负责查重。</w:t>
      </w:r>
    </w:p>
    <w:p>
      <w:pPr>
        <w:pageBreakBefore w:val="0"/>
        <w:widowControl/>
        <w:kinsoku/>
        <w:wordWrap/>
        <w:overflowPunct/>
        <w:topLinePunct w:val="0"/>
        <w:autoSpaceDE/>
        <w:autoSpaceDN/>
        <w:bidi w:val="0"/>
        <w:spacing w:line="560" w:lineRule="exact"/>
        <w:ind w:firstLine="640" w:firstLineChars="200"/>
        <w:jc w:val="left"/>
        <w:textAlignment w:val="auto"/>
        <w:rPr>
          <w:rFonts w:ascii="黑体" w:hAnsi="黑体" w:eastAsia="黑体" w:cs="宋体"/>
          <w:kern w:val="0"/>
          <w:sz w:val="32"/>
          <w:szCs w:val="32"/>
          <w:highlight w:val="none"/>
        </w:rPr>
      </w:pPr>
      <w:r>
        <w:rPr>
          <w:rFonts w:hint="eastAsia" w:ascii="黑体" w:hAnsi="黑体" w:eastAsia="黑体" w:cs="宋体"/>
          <w:kern w:val="0"/>
          <w:sz w:val="32"/>
          <w:szCs w:val="32"/>
          <w:highlight w:val="none"/>
          <w:lang w:eastAsia="zh-CN"/>
        </w:rPr>
        <w:t>（</w:t>
      </w:r>
      <w:r>
        <w:rPr>
          <w:rFonts w:hint="eastAsia" w:ascii="黑体" w:hAnsi="黑体" w:eastAsia="黑体" w:cs="宋体"/>
          <w:kern w:val="0"/>
          <w:sz w:val="32"/>
          <w:szCs w:val="32"/>
          <w:highlight w:val="none"/>
          <w:lang w:val="en-US" w:eastAsia="zh-CN"/>
        </w:rPr>
        <w:t>三</w:t>
      </w:r>
      <w:r>
        <w:rPr>
          <w:rFonts w:hint="eastAsia" w:ascii="黑体" w:hAnsi="黑体" w:eastAsia="黑体" w:cs="宋体"/>
          <w:kern w:val="0"/>
          <w:sz w:val="32"/>
          <w:szCs w:val="32"/>
          <w:highlight w:val="none"/>
          <w:lang w:eastAsia="zh-CN"/>
        </w:rPr>
        <w:t>）</w:t>
      </w:r>
      <w:r>
        <w:rPr>
          <w:rFonts w:hint="eastAsia" w:ascii="黑体" w:hAnsi="黑体" w:eastAsia="黑体" w:cs="宋体"/>
          <w:kern w:val="0"/>
          <w:sz w:val="32"/>
          <w:szCs w:val="32"/>
          <w:highlight w:val="none"/>
        </w:rPr>
        <w:t>科研成果分级和分值</w:t>
      </w:r>
    </w:p>
    <w:p>
      <w:pPr>
        <w:pageBreakBefore w:val="0"/>
        <w:kinsoku/>
        <w:wordWrap/>
        <w:overflowPunct/>
        <w:topLinePunct w:val="0"/>
        <w:autoSpaceDE/>
        <w:autoSpaceDN/>
        <w:bidi w:val="0"/>
        <w:spacing w:line="560" w:lineRule="exact"/>
        <w:ind w:firstLine="561"/>
        <w:textAlignment w:val="auto"/>
        <w:rPr>
          <w:rFonts w:ascii="仿宋" w:hAnsi="仿宋" w:eastAsia="仿宋" w:cs="宋体"/>
          <w:b/>
          <w:sz w:val="32"/>
          <w:szCs w:val="32"/>
          <w:highlight w:val="none"/>
        </w:rPr>
      </w:pPr>
      <w:r>
        <w:rPr>
          <w:rFonts w:hint="eastAsia" w:ascii="仿宋" w:hAnsi="仿宋" w:eastAsia="仿宋" w:cs="宋体"/>
          <w:b/>
          <w:sz w:val="32"/>
          <w:szCs w:val="32"/>
          <w:highlight w:val="none"/>
          <w:lang w:val="en-US" w:eastAsia="zh-CN"/>
        </w:rPr>
        <w:t>1.</w:t>
      </w:r>
      <w:r>
        <w:rPr>
          <w:rFonts w:hint="eastAsia" w:ascii="仿宋" w:hAnsi="仿宋" w:eastAsia="仿宋" w:cs="宋体"/>
          <w:b/>
          <w:bCs/>
          <w:kern w:val="0"/>
          <w:sz w:val="32"/>
          <w:szCs w:val="32"/>
          <w:highlight w:val="none"/>
        </w:rPr>
        <w:t>学术出版物、研究报告</w:t>
      </w:r>
      <w:r>
        <w:rPr>
          <w:rFonts w:hint="eastAsia" w:ascii="仿宋" w:hAnsi="仿宋" w:eastAsia="仿宋" w:cs="宋体"/>
          <w:b/>
          <w:sz w:val="32"/>
          <w:szCs w:val="32"/>
          <w:highlight w:val="none"/>
        </w:rPr>
        <w:t>分级和分值</w:t>
      </w:r>
    </w:p>
    <w:p>
      <w:pPr>
        <w:pageBreakBefore w:val="0"/>
        <w:kinsoku/>
        <w:wordWrap/>
        <w:overflowPunct/>
        <w:topLinePunct w:val="0"/>
        <w:autoSpaceDE/>
        <w:autoSpaceDN/>
        <w:bidi w:val="0"/>
        <w:spacing w:line="560" w:lineRule="exact"/>
        <w:ind w:firstLine="561"/>
        <w:textAlignment w:val="auto"/>
        <w:rPr>
          <w:rFonts w:ascii="仿宋" w:hAnsi="仿宋" w:eastAsia="仿宋" w:cs="宋体"/>
          <w:b/>
          <w:sz w:val="32"/>
          <w:szCs w:val="32"/>
          <w:highlight w:val="none"/>
        </w:rPr>
      </w:pPr>
      <w:r>
        <w:rPr>
          <w:rFonts w:hint="eastAsia" w:ascii="仿宋" w:hAnsi="仿宋" w:eastAsia="仿宋" w:cs="宋体"/>
          <w:b/>
          <w:sz w:val="32"/>
          <w:szCs w:val="32"/>
          <w:highlight w:val="none"/>
          <w:lang w:eastAsia="zh-CN"/>
        </w:rPr>
        <w:t>（</w:t>
      </w:r>
      <w:r>
        <w:rPr>
          <w:rFonts w:hint="eastAsia" w:ascii="仿宋" w:hAnsi="仿宋" w:eastAsia="仿宋" w:cs="宋体"/>
          <w:b/>
          <w:sz w:val="32"/>
          <w:szCs w:val="32"/>
          <w:highlight w:val="none"/>
          <w:lang w:val="en-US" w:eastAsia="zh-CN"/>
        </w:rPr>
        <w:t>1</w:t>
      </w:r>
      <w:r>
        <w:rPr>
          <w:rFonts w:hint="eastAsia" w:ascii="仿宋" w:hAnsi="仿宋" w:eastAsia="仿宋" w:cs="宋体"/>
          <w:b/>
          <w:sz w:val="32"/>
          <w:szCs w:val="32"/>
          <w:highlight w:val="none"/>
          <w:lang w:eastAsia="zh-CN"/>
        </w:rPr>
        <w:t>）</w:t>
      </w:r>
      <w:r>
        <w:rPr>
          <w:rFonts w:hint="eastAsia" w:ascii="仿宋" w:hAnsi="仿宋" w:eastAsia="仿宋" w:cs="宋体"/>
          <w:b/>
          <w:sz w:val="32"/>
          <w:szCs w:val="32"/>
          <w:highlight w:val="none"/>
        </w:rPr>
        <w:t>报刊论文、研究报告分级和分值</w:t>
      </w:r>
    </w:p>
    <w:tbl>
      <w:tblPr>
        <w:tblStyle w:val="4"/>
        <w:tblW w:w="84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7"/>
        <w:gridCol w:w="4856"/>
        <w:gridCol w:w="992"/>
        <w:gridCol w:w="15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1027" w:type="dxa"/>
            <w:tcBorders>
              <w:bottom w:val="single" w:color="auto" w:sz="12" w:space="0"/>
            </w:tcBorders>
            <w:shd w:val="clear" w:color="auto" w:fill="BDD6EE"/>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b/>
                <w:bCs/>
                <w:sz w:val="24"/>
                <w:highlight w:val="none"/>
              </w:rPr>
            </w:pPr>
            <w:r>
              <w:rPr>
                <w:rFonts w:hint="eastAsia" w:ascii="仿宋" w:hAnsi="仿宋" w:eastAsia="仿宋"/>
                <w:b/>
                <w:bCs/>
                <w:sz w:val="24"/>
                <w:highlight w:val="none"/>
              </w:rPr>
              <w:t>分级一</w:t>
            </w:r>
          </w:p>
        </w:tc>
        <w:tc>
          <w:tcPr>
            <w:tcW w:w="4856" w:type="dxa"/>
            <w:tcBorders>
              <w:bottom w:val="single" w:color="auto" w:sz="12" w:space="0"/>
            </w:tcBorders>
            <w:shd w:val="clear" w:color="auto" w:fill="BDD6EE"/>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b/>
                <w:bCs/>
                <w:sz w:val="24"/>
                <w:highlight w:val="none"/>
              </w:rPr>
            </w:pPr>
            <w:r>
              <w:rPr>
                <w:rFonts w:hint="eastAsia" w:ascii="仿宋" w:hAnsi="仿宋" w:eastAsia="仿宋"/>
                <w:b/>
                <w:bCs/>
                <w:sz w:val="24"/>
                <w:highlight w:val="none"/>
              </w:rPr>
              <w:t>成果</w:t>
            </w:r>
          </w:p>
        </w:tc>
        <w:tc>
          <w:tcPr>
            <w:tcW w:w="992" w:type="dxa"/>
            <w:tcBorders>
              <w:bottom w:val="single" w:color="auto" w:sz="12" w:space="0"/>
            </w:tcBorders>
            <w:shd w:val="clear" w:color="auto" w:fill="BDD6EE"/>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b/>
                <w:bCs/>
                <w:sz w:val="24"/>
                <w:highlight w:val="none"/>
              </w:rPr>
            </w:pPr>
            <w:r>
              <w:rPr>
                <w:rFonts w:hint="eastAsia" w:ascii="仿宋" w:hAnsi="仿宋" w:eastAsia="仿宋"/>
                <w:b/>
                <w:bCs/>
                <w:sz w:val="24"/>
                <w:highlight w:val="none"/>
              </w:rPr>
              <w:t>分级二</w:t>
            </w:r>
          </w:p>
        </w:tc>
        <w:tc>
          <w:tcPr>
            <w:tcW w:w="1585" w:type="dxa"/>
            <w:tcBorders>
              <w:bottom w:val="single" w:color="auto" w:sz="12" w:space="0"/>
            </w:tcBorders>
            <w:shd w:val="clear" w:color="auto" w:fill="BDD6EE"/>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b/>
                <w:bCs/>
                <w:sz w:val="24"/>
                <w:highlight w:val="none"/>
              </w:rPr>
            </w:pPr>
            <w:r>
              <w:rPr>
                <w:rFonts w:hint="eastAsia" w:ascii="仿宋" w:hAnsi="仿宋" w:eastAsia="仿宋"/>
                <w:b/>
                <w:bCs/>
                <w:sz w:val="24"/>
                <w:highlight w:val="none"/>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1027" w:type="dxa"/>
            <w:vMerge w:val="restart"/>
            <w:tcBorders>
              <w:top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hint="eastAsia" w:ascii="仿宋" w:hAnsi="仿宋" w:eastAsia="仿宋"/>
                <w:sz w:val="24"/>
                <w:highlight w:val="none"/>
              </w:rPr>
              <w:t>A级</w:t>
            </w:r>
          </w:p>
        </w:tc>
        <w:tc>
          <w:tcPr>
            <w:tcW w:w="4856" w:type="dxa"/>
            <w:vMerge w:val="restart"/>
            <w:tcBorders>
              <w:top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hint="eastAsia" w:ascii="仿宋" w:hAnsi="仿宋" w:eastAsia="仿宋"/>
                <w:sz w:val="24"/>
                <w:highlight w:val="none"/>
              </w:rPr>
              <w:t>论文</w:t>
            </w:r>
          </w:p>
        </w:tc>
        <w:tc>
          <w:tcPr>
            <w:tcW w:w="992" w:type="dxa"/>
            <w:tcBorders>
              <w:top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hint="eastAsia" w:ascii="仿宋" w:hAnsi="仿宋" w:eastAsia="仿宋"/>
                <w:sz w:val="24"/>
                <w:highlight w:val="none"/>
              </w:rPr>
              <w:t>A+</w:t>
            </w:r>
          </w:p>
        </w:tc>
        <w:tc>
          <w:tcPr>
            <w:tcW w:w="1585" w:type="dxa"/>
            <w:tcBorders>
              <w:top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ascii="仿宋" w:hAnsi="仿宋" w:eastAsia="仿宋"/>
                <w:sz w:val="24"/>
                <w:highlight w:val="none"/>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1027" w:type="dxa"/>
            <w:vMerge w:val="continue"/>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p>
        </w:tc>
        <w:tc>
          <w:tcPr>
            <w:tcW w:w="4856" w:type="dxa"/>
            <w:vMerge w:val="continue"/>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p>
        </w:tc>
        <w:tc>
          <w:tcPr>
            <w:tcW w:w="992" w:type="dxa"/>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hint="eastAsia" w:ascii="仿宋" w:hAnsi="仿宋" w:eastAsia="仿宋"/>
                <w:sz w:val="24"/>
                <w:highlight w:val="none"/>
              </w:rPr>
              <w:t>A</w:t>
            </w:r>
          </w:p>
        </w:tc>
        <w:tc>
          <w:tcPr>
            <w:tcW w:w="1585" w:type="dxa"/>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ascii="仿宋" w:hAnsi="仿宋" w:eastAsia="仿宋"/>
                <w:sz w:val="24"/>
                <w:highlight w:val="none"/>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1027" w:type="dxa"/>
            <w:vMerge w:val="continue"/>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p>
        </w:tc>
        <w:tc>
          <w:tcPr>
            <w:tcW w:w="4856" w:type="dxa"/>
            <w:vMerge w:val="continue"/>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p>
        </w:tc>
        <w:tc>
          <w:tcPr>
            <w:tcW w:w="992" w:type="dxa"/>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hint="eastAsia" w:ascii="仿宋" w:hAnsi="仿宋" w:eastAsia="仿宋"/>
                <w:sz w:val="24"/>
                <w:highlight w:val="none"/>
              </w:rPr>
              <w:t>A-</w:t>
            </w:r>
          </w:p>
        </w:tc>
        <w:tc>
          <w:tcPr>
            <w:tcW w:w="1585" w:type="dxa"/>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hint="eastAsia" w:ascii="仿宋" w:hAnsi="仿宋" w:eastAsia="仿宋"/>
                <w:sz w:val="24"/>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1027" w:type="dxa"/>
            <w:vMerge w:val="continue"/>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p>
        </w:tc>
        <w:tc>
          <w:tcPr>
            <w:tcW w:w="4856" w:type="dxa"/>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hint="eastAsia" w:ascii="仿宋" w:hAnsi="仿宋" w:eastAsia="仿宋"/>
                <w:sz w:val="24"/>
                <w:highlight w:val="none"/>
              </w:rPr>
              <w:t>研究报告（被国家政府部门采信）</w:t>
            </w:r>
          </w:p>
        </w:tc>
        <w:tc>
          <w:tcPr>
            <w:tcW w:w="2577" w:type="dxa"/>
            <w:gridSpan w:val="2"/>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ascii="仿宋" w:hAnsi="仿宋" w:eastAsia="仿宋"/>
                <w:sz w:val="24"/>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1027" w:type="dxa"/>
            <w:vMerge w:val="restart"/>
            <w:tcBorders>
              <w:top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ascii="仿宋" w:hAnsi="仿宋" w:eastAsia="仿宋"/>
                <w:sz w:val="24"/>
                <w:highlight w:val="none"/>
              </w:rPr>
              <w:t>B</w:t>
            </w:r>
            <w:r>
              <w:rPr>
                <w:rFonts w:hint="eastAsia" w:ascii="仿宋" w:hAnsi="仿宋" w:eastAsia="仿宋"/>
                <w:sz w:val="24"/>
                <w:highlight w:val="none"/>
              </w:rPr>
              <w:t>级</w:t>
            </w:r>
          </w:p>
        </w:tc>
        <w:tc>
          <w:tcPr>
            <w:tcW w:w="4856" w:type="dxa"/>
            <w:tcBorders>
              <w:top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hint="eastAsia" w:ascii="仿宋" w:hAnsi="仿宋" w:eastAsia="仿宋"/>
                <w:sz w:val="24"/>
                <w:highlight w:val="none"/>
              </w:rPr>
              <w:t>论文</w:t>
            </w:r>
          </w:p>
        </w:tc>
        <w:tc>
          <w:tcPr>
            <w:tcW w:w="2577" w:type="dxa"/>
            <w:gridSpan w:val="2"/>
            <w:tcBorders>
              <w:top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ascii="仿宋" w:hAnsi="仿宋" w:eastAsia="仿宋"/>
                <w:sz w:val="24"/>
                <w:highlight w:val="none"/>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027" w:type="dxa"/>
            <w:vMerge w:val="continue"/>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p>
        </w:tc>
        <w:tc>
          <w:tcPr>
            <w:tcW w:w="4856" w:type="dxa"/>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hint="eastAsia" w:ascii="仿宋" w:hAnsi="仿宋" w:eastAsia="仿宋"/>
                <w:sz w:val="24"/>
                <w:highlight w:val="none"/>
              </w:rPr>
              <w:t>研究报告（</w:t>
            </w:r>
            <w:r>
              <w:rPr>
                <w:rFonts w:hint="eastAsia" w:ascii="仿宋" w:hAnsi="仿宋" w:eastAsia="仿宋" w:cs="宋体"/>
                <w:bCs/>
                <w:kern w:val="0"/>
                <w:sz w:val="24"/>
                <w:highlight w:val="none"/>
              </w:rPr>
              <w:t>被省、市、自治区政府部门采信</w:t>
            </w:r>
            <w:r>
              <w:rPr>
                <w:rFonts w:hint="eastAsia" w:ascii="仿宋" w:hAnsi="仿宋" w:eastAsia="仿宋"/>
                <w:sz w:val="24"/>
                <w:highlight w:val="none"/>
              </w:rPr>
              <w:t>）</w:t>
            </w:r>
          </w:p>
        </w:tc>
        <w:tc>
          <w:tcPr>
            <w:tcW w:w="2577" w:type="dxa"/>
            <w:gridSpan w:val="2"/>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hint="eastAsia" w:ascii="仿宋" w:hAnsi="仿宋" w:eastAsia="仿宋"/>
                <w:sz w:val="24"/>
                <w:highlight w:val="none"/>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27" w:type="dxa"/>
            <w:tcBorders>
              <w:top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ascii="仿宋" w:hAnsi="仿宋" w:eastAsia="仿宋"/>
                <w:sz w:val="24"/>
                <w:highlight w:val="none"/>
              </w:rPr>
              <w:t>C</w:t>
            </w:r>
            <w:r>
              <w:rPr>
                <w:rFonts w:hint="eastAsia" w:ascii="仿宋" w:hAnsi="仿宋" w:eastAsia="仿宋"/>
                <w:sz w:val="24"/>
                <w:highlight w:val="none"/>
              </w:rPr>
              <w:t>级</w:t>
            </w:r>
          </w:p>
        </w:tc>
        <w:tc>
          <w:tcPr>
            <w:tcW w:w="4856" w:type="dxa"/>
            <w:tcBorders>
              <w:top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hint="eastAsia" w:ascii="仿宋" w:hAnsi="仿宋" w:eastAsia="仿宋"/>
                <w:sz w:val="24"/>
                <w:highlight w:val="none"/>
              </w:rPr>
              <w:t>论文</w:t>
            </w:r>
          </w:p>
        </w:tc>
        <w:tc>
          <w:tcPr>
            <w:tcW w:w="2577" w:type="dxa"/>
            <w:gridSpan w:val="2"/>
            <w:tcBorders>
              <w:top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ascii="仿宋" w:hAnsi="仿宋" w:eastAsia="仿宋"/>
                <w:sz w:val="24"/>
                <w:highlight w:val="none"/>
              </w:rPr>
              <w:t>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jc w:val="center"/>
        </w:trPr>
        <w:tc>
          <w:tcPr>
            <w:tcW w:w="1027" w:type="dxa"/>
            <w:tcBorders>
              <w:top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hint="eastAsia" w:ascii="仿宋" w:hAnsi="仿宋" w:eastAsia="仿宋"/>
                <w:sz w:val="24"/>
                <w:highlight w:val="none"/>
              </w:rPr>
              <w:t>D级</w:t>
            </w:r>
          </w:p>
        </w:tc>
        <w:tc>
          <w:tcPr>
            <w:tcW w:w="4856" w:type="dxa"/>
            <w:tcBorders>
              <w:top w:val="single" w:color="auto" w:sz="12" w:space="0"/>
            </w:tcBorders>
            <w:noWrap w:val="0"/>
            <w:vAlign w:val="top"/>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hint="eastAsia" w:ascii="仿宋" w:hAnsi="仿宋" w:eastAsia="仿宋"/>
                <w:sz w:val="24"/>
                <w:highlight w:val="none"/>
              </w:rPr>
              <w:t>论文</w:t>
            </w:r>
          </w:p>
        </w:tc>
        <w:tc>
          <w:tcPr>
            <w:tcW w:w="2577" w:type="dxa"/>
            <w:gridSpan w:val="2"/>
            <w:tcBorders>
              <w:top w:val="single" w:color="auto" w:sz="12" w:space="0"/>
            </w:tcBorders>
            <w:noWrap w:val="0"/>
            <w:vAlign w:val="top"/>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hint="eastAsia" w:ascii="仿宋" w:hAnsi="仿宋" w:eastAsia="仿宋"/>
                <w:sz w:val="24"/>
                <w:highlight w:val="none"/>
              </w:rPr>
              <w:t>5</w:t>
            </w:r>
          </w:p>
        </w:tc>
      </w:tr>
    </w:tbl>
    <w:p>
      <w:pPr>
        <w:pageBreakBefore w:val="0"/>
        <w:widowControl/>
        <w:kinsoku/>
        <w:wordWrap/>
        <w:overflowPunct/>
        <w:topLinePunct w:val="0"/>
        <w:autoSpaceDE/>
        <w:autoSpaceDN/>
        <w:bidi w:val="0"/>
        <w:spacing w:line="560" w:lineRule="exact"/>
        <w:ind w:firstLine="480" w:firstLineChars="200"/>
        <w:textAlignment w:val="auto"/>
        <w:rPr>
          <w:rFonts w:ascii="仿宋" w:hAnsi="仿宋" w:eastAsia="仿宋"/>
          <w:sz w:val="24"/>
          <w:highlight w:val="none"/>
        </w:rPr>
      </w:pPr>
      <w:r>
        <w:rPr>
          <w:rFonts w:hint="eastAsia" w:ascii="仿宋" w:hAnsi="仿宋" w:eastAsia="仿宋"/>
          <w:sz w:val="24"/>
          <w:highlight w:val="none"/>
        </w:rPr>
        <w:t>注：</w:t>
      </w:r>
      <w:r>
        <w:rPr>
          <w:rFonts w:hint="eastAsia" w:ascii="仿宋" w:hAnsi="仿宋" w:eastAsia="仿宋"/>
          <w:b/>
          <w:bCs/>
          <w:sz w:val="24"/>
          <w:highlight w:val="none"/>
        </w:rPr>
        <w:t>1.</w:t>
      </w:r>
      <w:r>
        <w:rPr>
          <w:rFonts w:hint="eastAsia" w:ascii="仿宋" w:hAnsi="仿宋" w:eastAsia="仿宋"/>
          <w:sz w:val="24"/>
          <w:highlight w:val="none"/>
        </w:rPr>
        <w:t>报刊分级目录见</w:t>
      </w:r>
      <w:r>
        <w:rPr>
          <w:rFonts w:hint="eastAsia" w:ascii="仿宋" w:hAnsi="仿宋" w:eastAsia="仿宋"/>
          <w:b w:val="0"/>
          <w:bCs w:val="0"/>
          <w:sz w:val="24"/>
          <w:highlight w:val="none"/>
          <w:lang w:eastAsia="zh-CN"/>
        </w:rPr>
        <w:t>《内蒙古艺术学院科研成果认定办法》</w:t>
      </w:r>
      <w:r>
        <w:rPr>
          <w:rFonts w:hint="eastAsia" w:ascii="仿宋" w:hAnsi="仿宋" w:eastAsia="仿宋"/>
          <w:sz w:val="24"/>
          <w:highlight w:val="none"/>
        </w:rPr>
        <w:t>；</w:t>
      </w:r>
      <w:r>
        <w:rPr>
          <w:rFonts w:hint="eastAsia" w:ascii="仿宋" w:hAnsi="仿宋" w:eastAsia="仿宋"/>
          <w:b/>
          <w:sz w:val="24"/>
          <w:highlight w:val="none"/>
        </w:rPr>
        <w:t>2</w:t>
      </w:r>
      <w:r>
        <w:rPr>
          <w:rFonts w:ascii="仿宋" w:hAnsi="仿宋" w:eastAsia="仿宋"/>
          <w:b/>
          <w:sz w:val="24"/>
          <w:highlight w:val="none"/>
        </w:rPr>
        <w:t>.</w:t>
      </w:r>
      <w:r>
        <w:rPr>
          <w:rFonts w:ascii="仿宋" w:hAnsi="仿宋" w:eastAsia="仿宋"/>
          <w:sz w:val="24"/>
          <w:highlight w:val="none"/>
        </w:rPr>
        <w:t>所发表论文未被知网或万方、维普文献数据库收录不予认定（外文、</w:t>
      </w:r>
      <w:r>
        <w:rPr>
          <w:rFonts w:hint="eastAsia" w:ascii="仿宋" w:hAnsi="仿宋" w:eastAsia="仿宋"/>
          <w:sz w:val="24"/>
          <w:highlight w:val="none"/>
        </w:rPr>
        <w:t>少数民族文字、双语期刊等数据库不予收录的论文除外</w:t>
      </w:r>
      <w:r>
        <w:rPr>
          <w:rFonts w:ascii="仿宋" w:hAnsi="仿宋" w:eastAsia="仿宋"/>
          <w:sz w:val="24"/>
          <w:highlight w:val="none"/>
        </w:rPr>
        <w:t>）</w:t>
      </w:r>
      <w:r>
        <w:rPr>
          <w:rFonts w:hint="eastAsia" w:ascii="仿宋" w:hAnsi="仿宋" w:eastAsia="仿宋"/>
          <w:sz w:val="24"/>
          <w:highlight w:val="none"/>
        </w:rPr>
        <w:t>；</w:t>
      </w:r>
      <w:r>
        <w:rPr>
          <w:rFonts w:ascii="仿宋" w:hAnsi="仿宋" w:eastAsia="仿宋"/>
          <w:b/>
          <w:sz w:val="24"/>
          <w:highlight w:val="none"/>
        </w:rPr>
        <w:t xml:space="preserve"> 3.</w:t>
      </w:r>
      <w:r>
        <w:rPr>
          <w:rFonts w:hint="eastAsia" w:ascii="仿宋" w:hAnsi="仿宋" w:eastAsia="仿宋"/>
          <w:sz w:val="24"/>
          <w:highlight w:val="none"/>
        </w:rPr>
        <w:t>以译文形式在国内外报刊发表的论文，按同级报刊论文分数的80%计分；</w:t>
      </w:r>
      <w:r>
        <w:rPr>
          <w:rFonts w:hint="eastAsia" w:ascii="仿宋" w:hAnsi="仿宋" w:eastAsia="仿宋"/>
          <w:b/>
          <w:sz w:val="24"/>
          <w:highlight w:val="none"/>
        </w:rPr>
        <w:t>4</w:t>
      </w:r>
      <w:r>
        <w:rPr>
          <w:rFonts w:ascii="仿宋" w:hAnsi="仿宋" w:eastAsia="仿宋"/>
          <w:b/>
          <w:sz w:val="24"/>
          <w:highlight w:val="none"/>
        </w:rPr>
        <w:t>.</w:t>
      </w:r>
      <w:r>
        <w:rPr>
          <w:rFonts w:hint="eastAsia" w:ascii="仿宋" w:hAnsi="仿宋" w:eastAsia="仿宋" w:cs="仿宋"/>
          <w:bCs/>
          <w:sz w:val="24"/>
          <w:highlight w:val="none"/>
        </w:rPr>
        <w:t>在</w:t>
      </w:r>
      <w:r>
        <w:rPr>
          <w:rFonts w:ascii="仿宋" w:hAnsi="仿宋" w:eastAsia="仿宋" w:cs="仿宋"/>
          <w:bCs/>
          <w:sz w:val="24"/>
          <w:highlight w:val="none"/>
        </w:rPr>
        <w:t>职称晋级评聘、</w:t>
      </w:r>
      <w:r>
        <w:rPr>
          <w:rFonts w:hint="eastAsia" w:ascii="仿宋" w:hAnsi="仿宋" w:eastAsia="仿宋" w:cs="仿宋"/>
          <w:bCs/>
          <w:sz w:val="24"/>
          <w:highlight w:val="none"/>
        </w:rPr>
        <w:t>遴选聘用研究生导师</w:t>
      </w:r>
      <w:r>
        <w:rPr>
          <w:rFonts w:ascii="仿宋" w:hAnsi="仿宋" w:eastAsia="仿宋" w:cs="仿宋"/>
          <w:bCs/>
          <w:sz w:val="24"/>
          <w:highlight w:val="none"/>
        </w:rPr>
        <w:t>等工作中，提交</w:t>
      </w:r>
      <w:r>
        <w:rPr>
          <w:rFonts w:hint="eastAsia" w:ascii="仿宋" w:hAnsi="仿宋" w:eastAsia="仿宋"/>
          <w:sz w:val="24"/>
          <w:highlight w:val="none"/>
        </w:rPr>
        <w:t>在</w:t>
      </w:r>
      <w:r>
        <w:rPr>
          <w:rFonts w:ascii="仿宋" w:hAnsi="仿宋" w:eastAsia="仿宋"/>
          <w:sz w:val="24"/>
          <w:highlight w:val="none"/>
        </w:rPr>
        <w:t>报纸发表的论文、</w:t>
      </w:r>
      <w:r>
        <w:rPr>
          <w:rFonts w:hint="eastAsia" w:ascii="仿宋" w:hAnsi="仿宋" w:eastAsia="仿宋"/>
          <w:sz w:val="24"/>
          <w:highlight w:val="none"/>
        </w:rPr>
        <w:t>被政府部门采信的研究报告</w:t>
      </w:r>
      <w:r>
        <w:rPr>
          <w:rFonts w:hint="eastAsia" w:ascii="仿宋" w:hAnsi="仿宋" w:eastAsia="仿宋" w:cs="仿宋"/>
          <w:bCs/>
          <w:sz w:val="24"/>
          <w:highlight w:val="none"/>
        </w:rPr>
        <w:t>作为赋分</w:t>
      </w:r>
      <w:r>
        <w:rPr>
          <w:rFonts w:ascii="仿宋" w:hAnsi="仿宋" w:eastAsia="仿宋" w:cs="仿宋"/>
          <w:bCs/>
          <w:sz w:val="24"/>
          <w:highlight w:val="none"/>
        </w:rPr>
        <w:t>成果均不得超过</w:t>
      </w:r>
      <w:r>
        <w:rPr>
          <w:rFonts w:hint="eastAsia" w:ascii="仿宋" w:hAnsi="仿宋" w:eastAsia="仿宋" w:cs="仿宋"/>
          <w:bCs/>
          <w:sz w:val="24"/>
          <w:highlight w:val="none"/>
        </w:rPr>
        <w:t>1</w:t>
      </w:r>
      <w:r>
        <w:rPr>
          <w:rFonts w:ascii="仿宋" w:hAnsi="仿宋" w:eastAsia="仿宋" w:cs="仿宋"/>
          <w:bCs/>
          <w:sz w:val="24"/>
          <w:highlight w:val="none"/>
        </w:rPr>
        <w:t>篇</w:t>
      </w:r>
      <w:r>
        <w:rPr>
          <w:rFonts w:hint="eastAsia" w:ascii="仿宋" w:hAnsi="仿宋" w:eastAsia="仿宋" w:cs="仿宋"/>
          <w:bCs/>
          <w:sz w:val="24"/>
          <w:highlight w:val="none"/>
        </w:rPr>
        <w:t>；</w:t>
      </w:r>
      <w:r>
        <w:rPr>
          <w:rFonts w:hint="eastAsia" w:ascii="仿宋" w:hAnsi="仿宋" w:eastAsia="仿宋"/>
          <w:b/>
          <w:sz w:val="24"/>
          <w:highlight w:val="none"/>
        </w:rPr>
        <w:t>5</w:t>
      </w:r>
      <w:r>
        <w:rPr>
          <w:rFonts w:ascii="仿宋" w:hAnsi="仿宋" w:eastAsia="仿宋"/>
          <w:b/>
          <w:sz w:val="24"/>
          <w:highlight w:val="none"/>
        </w:rPr>
        <w:t>.</w:t>
      </w:r>
      <w:r>
        <w:rPr>
          <w:rFonts w:ascii="仿宋" w:hAnsi="仿宋" w:eastAsia="仿宋"/>
          <w:sz w:val="24"/>
          <w:highlight w:val="none"/>
        </w:rPr>
        <w:t>中国文联下属协会主办的部分刊物</w:t>
      </w:r>
      <w:r>
        <w:rPr>
          <w:rFonts w:hint="eastAsia" w:ascii="仿宋" w:hAnsi="仿宋" w:eastAsia="仿宋"/>
          <w:sz w:val="24"/>
          <w:highlight w:val="none"/>
        </w:rPr>
        <w:t>最低认定标准为B级（见</w:t>
      </w:r>
      <w:r>
        <w:rPr>
          <w:rFonts w:hint="eastAsia" w:ascii="仿宋" w:hAnsi="仿宋" w:eastAsia="仿宋"/>
          <w:sz w:val="24"/>
          <w:highlight w:val="none"/>
          <w:lang w:eastAsia="zh-CN"/>
        </w:rPr>
        <w:t>《</w:t>
      </w:r>
      <w:r>
        <w:rPr>
          <w:rFonts w:hint="eastAsia" w:ascii="仿宋" w:hAnsi="仿宋" w:eastAsia="仿宋"/>
          <w:sz w:val="24"/>
          <w:highlight w:val="none"/>
        </w:rPr>
        <w:t>内蒙古艺术学院科研成果认定办法</w:t>
      </w:r>
      <w:r>
        <w:rPr>
          <w:rFonts w:hint="eastAsia" w:ascii="仿宋" w:hAnsi="仿宋" w:eastAsia="仿宋"/>
          <w:sz w:val="24"/>
          <w:highlight w:val="none"/>
          <w:lang w:eastAsia="zh-CN"/>
        </w:rPr>
        <w:t>》</w:t>
      </w:r>
      <w:r>
        <w:rPr>
          <w:rFonts w:hint="eastAsia" w:ascii="仿宋" w:hAnsi="仿宋" w:eastAsia="仿宋"/>
          <w:sz w:val="24"/>
          <w:highlight w:val="none"/>
        </w:rPr>
        <w:t>)。</w:t>
      </w:r>
      <w:r>
        <w:rPr>
          <w:rFonts w:hint="eastAsia" w:ascii="仿宋" w:hAnsi="仿宋" w:eastAsia="仿宋"/>
          <w:b/>
          <w:sz w:val="24"/>
          <w:highlight w:val="none"/>
        </w:rPr>
        <w:t>6.</w:t>
      </w:r>
      <w:r>
        <w:rPr>
          <w:rFonts w:hint="eastAsia" w:ascii="仿宋" w:hAnsi="仿宋" w:eastAsia="仿宋"/>
          <w:bCs/>
          <w:sz w:val="24"/>
          <w:highlight w:val="none"/>
        </w:rPr>
        <w:t>以广告、宣传推介等其它非常态形式公开发表，</w:t>
      </w:r>
      <w:r>
        <w:rPr>
          <w:rFonts w:hint="eastAsia" w:ascii="仿宋" w:hAnsi="仿宋" w:eastAsia="仿宋"/>
          <w:sz w:val="24"/>
          <w:highlight w:val="none"/>
        </w:rPr>
        <w:t>2</w:t>
      </w:r>
      <w:r>
        <w:rPr>
          <w:rFonts w:ascii="仿宋" w:hAnsi="仿宋" w:eastAsia="仿宋"/>
          <w:sz w:val="24"/>
          <w:highlight w:val="none"/>
        </w:rPr>
        <w:t>025</w:t>
      </w:r>
      <w:r>
        <w:rPr>
          <w:rFonts w:hint="eastAsia" w:ascii="仿宋" w:hAnsi="仿宋" w:eastAsia="仿宋"/>
          <w:sz w:val="24"/>
          <w:highlight w:val="none"/>
        </w:rPr>
        <w:t>年以前</w:t>
      </w:r>
      <w:bookmarkStart w:id="4" w:name="_Hlk118989440"/>
      <w:r>
        <w:rPr>
          <w:rFonts w:hint="eastAsia" w:ascii="仿宋" w:hAnsi="仿宋" w:eastAsia="仿宋"/>
          <w:sz w:val="24"/>
          <w:highlight w:val="none"/>
        </w:rPr>
        <w:t>发表按分级一标准降级认定</w:t>
      </w:r>
      <w:bookmarkEnd w:id="4"/>
      <w:r>
        <w:rPr>
          <w:rFonts w:hint="eastAsia" w:ascii="仿宋" w:hAnsi="仿宋" w:eastAsia="仿宋"/>
          <w:sz w:val="24"/>
          <w:highlight w:val="none"/>
        </w:rPr>
        <w:t>，</w:t>
      </w:r>
      <w:r>
        <w:rPr>
          <w:rFonts w:ascii="仿宋" w:hAnsi="仿宋" w:eastAsia="仿宋"/>
          <w:sz w:val="24"/>
          <w:highlight w:val="none"/>
        </w:rPr>
        <w:t>2025</w:t>
      </w:r>
      <w:r>
        <w:rPr>
          <w:rFonts w:hint="eastAsia" w:ascii="仿宋" w:hAnsi="仿宋" w:eastAsia="仿宋"/>
          <w:sz w:val="24"/>
          <w:highlight w:val="none"/>
        </w:rPr>
        <w:t>年及以后发表不予认定。</w:t>
      </w:r>
      <w:r>
        <w:rPr>
          <w:rFonts w:ascii="仿宋" w:hAnsi="仿宋" w:eastAsia="仿宋"/>
          <w:sz w:val="24"/>
          <w:highlight w:val="none"/>
        </w:rPr>
        <w:t xml:space="preserve"> </w:t>
      </w:r>
    </w:p>
    <w:p>
      <w:pPr>
        <w:pageBreakBefore w:val="0"/>
        <w:kinsoku/>
        <w:wordWrap/>
        <w:overflowPunct/>
        <w:topLinePunct w:val="0"/>
        <w:autoSpaceDE/>
        <w:autoSpaceDN/>
        <w:bidi w:val="0"/>
        <w:spacing w:line="560" w:lineRule="exact"/>
        <w:ind w:firstLine="561"/>
        <w:textAlignment w:val="auto"/>
        <w:rPr>
          <w:rFonts w:hint="eastAsia" w:ascii="仿宋" w:hAnsi="仿宋" w:eastAsia="仿宋" w:cs="宋体"/>
          <w:b/>
          <w:sz w:val="32"/>
          <w:szCs w:val="32"/>
          <w:highlight w:val="none"/>
        </w:rPr>
      </w:pPr>
      <w:r>
        <w:rPr>
          <w:rFonts w:hint="eastAsia" w:ascii="仿宋" w:hAnsi="仿宋" w:eastAsia="仿宋" w:cs="宋体"/>
          <w:b/>
          <w:sz w:val="32"/>
          <w:szCs w:val="32"/>
          <w:highlight w:val="none"/>
          <w:lang w:eastAsia="zh-CN"/>
        </w:rPr>
        <w:t>（</w:t>
      </w:r>
      <w:r>
        <w:rPr>
          <w:rFonts w:hint="eastAsia" w:ascii="仿宋" w:hAnsi="仿宋" w:eastAsia="仿宋" w:cs="宋体"/>
          <w:b/>
          <w:sz w:val="32"/>
          <w:szCs w:val="32"/>
          <w:highlight w:val="none"/>
          <w:lang w:val="en-US" w:eastAsia="zh-CN"/>
        </w:rPr>
        <w:t>2</w:t>
      </w:r>
      <w:r>
        <w:rPr>
          <w:rFonts w:hint="eastAsia" w:ascii="仿宋" w:hAnsi="仿宋" w:eastAsia="仿宋" w:cs="宋体"/>
          <w:b/>
          <w:sz w:val="32"/>
          <w:szCs w:val="32"/>
          <w:highlight w:val="none"/>
          <w:lang w:eastAsia="zh-CN"/>
        </w:rPr>
        <w:t>）</w:t>
      </w:r>
      <w:r>
        <w:rPr>
          <w:rFonts w:hint="eastAsia" w:ascii="仿宋" w:hAnsi="仿宋" w:eastAsia="仿宋" w:cs="宋体"/>
          <w:b/>
          <w:sz w:val="32"/>
          <w:szCs w:val="32"/>
          <w:highlight w:val="none"/>
        </w:rPr>
        <w:t>著作分级和分值</w:t>
      </w:r>
    </w:p>
    <w:tbl>
      <w:tblPr>
        <w:tblStyle w:val="4"/>
        <w:tblpPr w:leftFromText="180" w:rightFromText="180" w:vertAnchor="text" w:horzAnchor="margin" w:tblpXSpec="center" w:tblpY="172"/>
        <w:tblW w:w="9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9"/>
        <w:gridCol w:w="3500"/>
        <w:gridCol w:w="4253"/>
        <w:gridCol w:w="7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trPr>
        <w:tc>
          <w:tcPr>
            <w:tcW w:w="719" w:type="dxa"/>
            <w:shd w:val="clear" w:color="auto" w:fill="BDD6EE"/>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b/>
                <w:sz w:val="24"/>
                <w:highlight w:val="none"/>
              </w:rPr>
            </w:pPr>
            <w:r>
              <w:rPr>
                <w:rFonts w:hint="eastAsia" w:ascii="仿宋" w:hAnsi="仿宋" w:eastAsia="仿宋"/>
                <w:b/>
                <w:sz w:val="24"/>
                <w:highlight w:val="none"/>
              </w:rPr>
              <w:t>分级</w:t>
            </w:r>
          </w:p>
        </w:tc>
        <w:tc>
          <w:tcPr>
            <w:tcW w:w="3500" w:type="dxa"/>
            <w:shd w:val="clear" w:color="auto" w:fill="BDD6EE"/>
            <w:noWrap w:val="0"/>
            <w:vAlign w:val="center"/>
          </w:tcPr>
          <w:p>
            <w:pPr>
              <w:pageBreakBefore w:val="0"/>
              <w:kinsoku/>
              <w:wordWrap/>
              <w:overflowPunct/>
              <w:topLinePunct w:val="0"/>
              <w:autoSpaceDE/>
              <w:autoSpaceDN/>
              <w:bidi w:val="0"/>
              <w:spacing w:line="560" w:lineRule="exact"/>
              <w:jc w:val="center"/>
              <w:textAlignment w:val="auto"/>
              <w:rPr>
                <w:rFonts w:hint="eastAsia" w:ascii="仿宋" w:hAnsi="仿宋" w:eastAsia="仿宋"/>
                <w:b/>
                <w:sz w:val="24"/>
                <w:highlight w:val="none"/>
              </w:rPr>
            </w:pPr>
            <w:r>
              <w:rPr>
                <w:rFonts w:hint="eastAsia" w:ascii="仿宋" w:hAnsi="仿宋" w:eastAsia="仿宋"/>
                <w:b/>
                <w:sz w:val="24"/>
                <w:highlight w:val="none"/>
              </w:rPr>
              <w:t>出版社</w:t>
            </w:r>
          </w:p>
        </w:tc>
        <w:tc>
          <w:tcPr>
            <w:tcW w:w="4253" w:type="dxa"/>
            <w:shd w:val="clear" w:color="auto" w:fill="BDD6EE"/>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b/>
                <w:sz w:val="24"/>
                <w:highlight w:val="none"/>
              </w:rPr>
            </w:pPr>
            <w:r>
              <w:rPr>
                <w:rFonts w:hint="eastAsia" w:ascii="仿宋" w:hAnsi="仿宋" w:eastAsia="仿宋"/>
                <w:b/>
                <w:sz w:val="24"/>
                <w:highlight w:val="none"/>
              </w:rPr>
              <w:t>成果</w:t>
            </w:r>
          </w:p>
        </w:tc>
        <w:tc>
          <w:tcPr>
            <w:tcW w:w="702" w:type="dxa"/>
            <w:shd w:val="clear" w:color="auto" w:fill="BDD6EE"/>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b/>
                <w:sz w:val="24"/>
                <w:highlight w:val="none"/>
              </w:rPr>
            </w:pPr>
            <w:r>
              <w:rPr>
                <w:rFonts w:hint="eastAsia" w:ascii="仿宋" w:hAnsi="仿宋" w:eastAsia="仿宋"/>
                <w:b/>
                <w:sz w:val="24"/>
                <w:highlight w:val="none"/>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trPr>
        <w:tc>
          <w:tcPr>
            <w:tcW w:w="719" w:type="dxa"/>
            <w:vMerge w:val="restart"/>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hint="eastAsia" w:ascii="仿宋" w:hAnsi="仿宋" w:eastAsia="仿宋"/>
                <w:sz w:val="24"/>
                <w:highlight w:val="none"/>
              </w:rPr>
              <w:t>A</w:t>
            </w:r>
            <w:r>
              <w:rPr>
                <w:rFonts w:ascii="仿宋" w:hAnsi="仿宋" w:eastAsia="仿宋"/>
                <w:sz w:val="24"/>
                <w:highlight w:val="none"/>
              </w:rPr>
              <w:t xml:space="preserve"> </w:t>
            </w:r>
          </w:p>
        </w:tc>
        <w:tc>
          <w:tcPr>
            <w:tcW w:w="3500" w:type="dxa"/>
            <w:vMerge w:val="restart"/>
            <w:noWrap w:val="0"/>
            <w:vAlign w:val="center"/>
          </w:tcPr>
          <w:p>
            <w:pPr>
              <w:pageBreakBefore w:val="0"/>
              <w:kinsoku/>
              <w:wordWrap/>
              <w:overflowPunct/>
              <w:topLinePunct w:val="0"/>
              <w:autoSpaceDE/>
              <w:autoSpaceDN/>
              <w:bidi w:val="0"/>
              <w:spacing w:line="560" w:lineRule="exact"/>
              <w:textAlignment w:val="auto"/>
              <w:rPr>
                <w:rFonts w:hint="eastAsia" w:ascii="仿宋" w:hAnsi="仿宋" w:eastAsia="仿宋"/>
                <w:sz w:val="24"/>
                <w:highlight w:val="none"/>
              </w:rPr>
            </w:pPr>
            <w:r>
              <w:rPr>
                <w:rFonts w:hint="eastAsia" w:ascii="仿宋" w:hAnsi="仿宋" w:eastAsia="仿宋"/>
                <w:sz w:val="24"/>
                <w:highlight w:val="none"/>
              </w:rPr>
              <w:t>商务印书馆、中华书局、人民出版社、生活</w:t>
            </w:r>
            <w:r>
              <w:rPr>
                <w:rFonts w:ascii="仿宋" w:hAnsi="仿宋" w:eastAsia="仿宋"/>
                <w:sz w:val="24"/>
                <w:highlight w:val="none"/>
              </w:rPr>
              <w:t>.</w:t>
            </w:r>
            <w:r>
              <w:rPr>
                <w:rFonts w:hint="eastAsia" w:ascii="仿宋" w:hAnsi="仿宋" w:eastAsia="仿宋"/>
                <w:sz w:val="24"/>
                <w:highlight w:val="none"/>
              </w:rPr>
              <w:t>读书</w:t>
            </w:r>
            <w:r>
              <w:rPr>
                <w:rFonts w:ascii="仿宋" w:hAnsi="仿宋" w:eastAsia="仿宋"/>
                <w:sz w:val="24"/>
                <w:highlight w:val="none"/>
              </w:rPr>
              <w:t>.</w:t>
            </w:r>
            <w:r>
              <w:rPr>
                <w:rFonts w:hint="eastAsia" w:ascii="仿宋" w:hAnsi="仿宋" w:eastAsia="仿宋"/>
                <w:sz w:val="24"/>
                <w:highlight w:val="none"/>
              </w:rPr>
              <w:t>新知三联书店。</w:t>
            </w:r>
          </w:p>
        </w:tc>
        <w:tc>
          <w:tcPr>
            <w:tcW w:w="4253" w:type="dxa"/>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hint="eastAsia" w:ascii="仿宋" w:hAnsi="仿宋" w:eastAsia="仿宋"/>
                <w:sz w:val="24"/>
                <w:highlight w:val="none"/>
              </w:rPr>
              <w:t>学术专著</w:t>
            </w:r>
          </w:p>
        </w:tc>
        <w:tc>
          <w:tcPr>
            <w:tcW w:w="702" w:type="dxa"/>
            <w:noWrap w:val="0"/>
            <w:vAlign w:val="top"/>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ascii="仿宋" w:hAnsi="仿宋" w:eastAsia="仿宋"/>
                <w:sz w:val="24"/>
                <w:highlight w:val="none"/>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719" w:type="dxa"/>
            <w:vMerge w:val="continue"/>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p>
        </w:tc>
        <w:tc>
          <w:tcPr>
            <w:tcW w:w="3500" w:type="dxa"/>
            <w:vMerge w:val="continue"/>
            <w:noWrap w:val="0"/>
            <w:vAlign w:val="top"/>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p>
        </w:tc>
        <w:tc>
          <w:tcPr>
            <w:tcW w:w="4253" w:type="dxa"/>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ascii="仿宋" w:hAnsi="仿宋" w:eastAsia="仿宋"/>
                <w:sz w:val="24"/>
                <w:highlight w:val="none"/>
              </w:rPr>
              <w:t>教材</w:t>
            </w:r>
            <w:r>
              <w:rPr>
                <w:rFonts w:hint="eastAsia" w:ascii="仿宋" w:hAnsi="仿宋" w:eastAsia="仿宋"/>
                <w:sz w:val="24"/>
                <w:highlight w:val="none"/>
              </w:rPr>
              <w:t>、</w:t>
            </w:r>
            <w:r>
              <w:rPr>
                <w:rFonts w:ascii="仿宋" w:hAnsi="仿宋" w:eastAsia="仿宋"/>
                <w:sz w:val="24"/>
                <w:highlight w:val="none"/>
              </w:rPr>
              <w:t>编著</w:t>
            </w:r>
            <w:r>
              <w:rPr>
                <w:rFonts w:hint="eastAsia" w:ascii="仿宋" w:hAnsi="仿宋" w:eastAsia="仿宋"/>
                <w:sz w:val="24"/>
                <w:highlight w:val="none"/>
              </w:rPr>
              <w:t>、绘本、</w:t>
            </w:r>
          </w:p>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hint="eastAsia" w:ascii="仿宋" w:hAnsi="仿宋" w:eastAsia="仿宋"/>
                <w:sz w:val="24"/>
                <w:highlight w:val="none"/>
              </w:rPr>
              <w:t>译著、作品集（个人）、论集（个人）</w:t>
            </w:r>
          </w:p>
        </w:tc>
        <w:tc>
          <w:tcPr>
            <w:tcW w:w="702" w:type="dxa"/>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ascii="仿宋" w:hAnsi="仿宋" w:eastAsia="仿宋"/>
                <w:sz w:val="24"/>
                <w:highlight w:val="none"/>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719" w:type="dxa"/>
            <w:vMerge w:val="continue"/>
            <w:tcBorders>
              <w:bottom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p>
        </w:tc>
        <w:tc>
          <w:tcPr>
            <w:tcW w:w="3500" w:type="dxa"/>
            <w:vMerge w:val="continue"/>
            <w:tcBorders>
              <w:bottom w:val="single" w:color="auto" w:sz="12" w:space="0"/>
            </w:tcBorders>
            <w:noWrap w:val="0"/>
            <w:vAlign w:val="top"/>
          </w:tcPr>
          <w:p>
            <w:pPr>
              <w:pageBreakBefore w:val="0"/>
              <w:kinsoku/>
              <w:wordWrap/>
              <w:overflowPunct/>
              <w:topLinePunct w:val="0"/>
              <w:autoSpaceDE/>
              <w:autoSpaceDN/>
              <w:bidi w:val="0"/>
              <w:spacing w:line="560" w:lineRule="exact"/>
              <w:jc w:val="center"/>
              <w:textAlignment w:val="auto"/>
              <w:rPr>
                <w:rFonts w:hint="eastAsia" w:ascii="仿宋" w:hAnsi="仿宋" w:eastAsia="仿宋"/>
                <w:sz w:val="24"/>
                <w:highlight w:val="none"/>
              </w:rPr>
            </w:pPr>
          </w:p>
        </w:tc>
        <w:tc>
          <w:tcPr>
            <w:tcW w:w="4253" w:type="dxa"/>
            <w:tcBorders>
              <w:bottom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hint="eastAsia" w:ascii="仿宋" w:hAnsi="仿宋" w:eastAsia="仿宋"/>
                <w:sz w:val="24"/>
                <w:highlight w:val="none"/>
              </w:rPr>
              <w:t>作品集（整理）、论集（整理）</w:t>
            </w:r>
          </w:p>
        </w:tc>
        <w:tc>
          <w:tcPr>
            <w:tcW w:w="702" w:type="dxa"/>
            <w:tcBorders>
              <w:bottom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ascii="仿宋" w:hAnsi="仿宋" w:eastAsia="仿宋"/>
                <w:sz w:val="24"/>
                <w:highlight w:val="none"/>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719" w:type="dxa"/>
            <w:vMerge w:val="restart"/>
            <w:tcBorders>
              <w:top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hint="eastAsia" w:ascii="仿宋" w:hAnsi="仿宋" w:eastAsia="仿宋"/>
                <w:sz w:val="24"/>
                <w:highlight w:val="none"/>
              </w:rPr>
            </w:pPr>
            <w:r>
              <w:rPr>
                <w:rFonts w:hint="eastAsia" w:ascii="仿宋" w:hAnsi="仿宋" w:eastAsia="仿宋"/>
                <w:sz w:val="24"/>
                <w:highlight w:val="none"/>
              </w:rPr>
              <w:t>B</w:t>
            </w:r>
          </w:p>
        </w:tc>
        <w:tc>
          <w:tcPr>
            <w:tcW w:w="3500" w:type="dxa"/>
            <w:vMerge w:val="restart"/>
            <w:tcBorders>
              <w:top w:val="single" w:color="auto" w:sz="12" w:space="0"/>
            </w:tcBorders>
            <w:noWrap w:val="0"/>
            <w:vAlign w:val="center"/>
          </w:tcPr>
          <w:p>
            <w:pPr>
              <w:pageBreakBefore w:val="0"/>
              <w:kinsoku/>
              <w:wordWrap/>
              <w:overflowPunct/>
              <w:topLinePunct w:val="0"/>
              <w:autoSpaceDE/>
              <w:autoSpaceDN/>
              <w:bidi w:val="0"/>
              <w:spacing w:line="560" w:lineRule="exact"/>
              <w:textAlignment w:val="auto"/>
              <w:rPr>
                <w:rFonts w:hint="eastAsia" w:ascii="仿宋" w:hAnsi="仿宋" w:eastAsia="仿宋"/>
                <w:sz w:val="24"/>
                <w:highlight w:val="none"/>
              </w:rPr>
            </w:pPr>
            <w:r>
              <w:rPr>
                <w:rFonts w:hint="eastAsia" w:ascii="仿宋" w:hAnsi="仿宋" w:eastAsia="仿宋"/>
                <w:sz w:val="24"/>
                <w:highlight w:val="none"/>
              </w:rPr>
              <w:t>学校认定的国家级专业出版社（见附件3）</w:t>
            </w:r>
          </w:p>
        </w:tc>
        <w:tc>
          <w:tcPr>
            <w:tcW w:w="4253" w:type="dxa"/>
            <w:tcBorders>
              <w:top w:val="single" w:color="auto" w:sz="12" w:space="0"/>
              <w:bottom w:val="single" w:color="auto" w:sz="4" w:space="0"/>
            </w:tcBorders>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hint="eastAsia" w:ascii="仿宋" w:hAnsi="仿宋" w:eastAsia="仿宋"/>
                <w:sz w:val="24"/>
                <w:highlight w:val="none"/>
              </w:rPr>
              <w:t>学术专著</w:t>
            </w:r>
          </w:p>
        </w:tc>
        <w:tc>
          <w:tcPr>
            <w:tcW w:w="702" w:type="dxa"/>
            <w:tcBorders>
              <w:top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hint="eastAsia" w:ascii="仿宋" w:hAnsi="仿宋" w:eastAsia="仿宋"/>
                <w:sz w:val="24"/>
                <w:highlight w:val="none"/>
              </w:rPr>
              <w:t>1</w:t>
            </w:r>
            <w:r>
              <w:rPr>
                <w:rFonts w:ascii="仿宋" w:hAnsi="仿宋" w:eastAsia="仿宋"/>
                <w:sz w:val="24"/>
                <w:highlight w:val="none"/>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719" w:type="dxa"/>
            <w:vMerge w:val="continue"/>
            <w:noWrap w:val="0"/>
            <w:vAlign w:val="center"/>
          </w:tcPr>
          <w:p>
            <w:pPr>
              <w:pageBreakBefore w:val="0"/>
              <w:kinsoku/>
              <w:wordWrap/>
              <w:overflowPunct/>
              <w:topLinePunct w:val="0"/>
              <w:autoSpaceDE/>
              <w:autoSpaceDN/>
              <w:bidi w:val="0"/>
              <w:spacing w:line="560" w:lineRule="exact"/>
              <w:jc w:val="center"/>
              <w:textAlignment w:val="auto"/>
              <w:rPr>
                <w:rFonts w:hint="eastAsia" w:ascii="仿宋" w:hAnsi="仿宋" w:eastAsia="仿宋"/>
                <w:sz w:val="24"/>
                <w:highlight w:val="none"/>
              </w:rPr>
            </w:pPr>
          </w:p>
        </w:tc>
        <w:tc>
          <w:tcPr>
            <w:tcW w:w="3500" w:type="dxa"/>
            <w:vMerge w:val="continue"/>
            <w:noWrap w:val="0"/>
            <w:vAlign w:val="top"/>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p>
        </w:tc>
        <w:tc>
          <w:tcPr>
            <w:tcW w:w="4253" w:type="dxa"/>
            <w:tcBorders>
              <w:top w:val="single" w:color="auto" w:sz="4" w:space="0"/>
              <w:bottom w:val="single" w:color="auto" w:sz="4" w:space="0"/>
            </w:tcBorders>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ascii="仿宋" w:hAnsi="仿宋" w:eastAsia="仿宋"/>
                <w:sz w:val="24"/>
                <w:highlight w:val="none"/>
              </w:rPr>
              <w:t>教材</w:t>
            </w:r>
            <w:r>
              <w:rPr>
                <w:rFonts w:hint="eastAsia" w:ascii="仿宋" w:hAnsi="仿宋" w:eastAsia="仿宋"/>
                <w:sz w:val="24"/>
                <w:highlight w:val="none"/>
              </w:rPr>
              <w:t>、</w:t>
            </w:r>
            <w:r>
              <w:rPr>
                <w:rFonts w:ascii="仿宋" w:hAnsi="仿宋" w:eastAsia="仿宋"/>
                <w:sz w:val="24"/>
                <w:highlight w:val="none"/>
              </w:rPr>
              <w:t>编著</w:t>
            </w:r>
            <w:r>
              <w:rPr>
                <w:rFonts w:hint="eastAsia" w:ascii="仿宋" w:hAnsi="仿宋" w:eastAsia="仿宋"/>
                <w:sz w:val="24"/>
                <w:highlight w:val="none"/>
              </w:rPr>
              <w:t>、绘本、</w:t>
            </w:r>
          </w:p>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hint="eastAsia" w:ascii="仿宋" w:hAnsi="仿宋" w:eastAsia="仿宋"/>
                <w:sz w:val="24"/>
                <w:highlight w:val="none"/>
              </w:rPr>
              <w:t>译著、作品集（个人）、论集（个人）</w:t>
            </w:r>
          </w:p>
        </w:tc>
        <w:tc>
          <w:tcPr>
            <w:tcW w:w="702" w:type="dxa"/>
            <w:tcBorders>
              <w:top w:val="single" w:color="auto" w:sz="4" w:space="0"/>
            </w:tcBorders>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hint="eastAsia" w:ascii="仿宋" w:hAnsi="仿宋" w:eastAsia="仿宋"/>
                <w:sz w:val="24"/>
                <w:highlight w:val="none"/>
              </w:rPr>
              <w:t>1</w:t>
            </w:r>
            <w:r>
              <w:rPr>
                <w:rFonts w:ascii="仿宋" w:hAnsi="仿宋" w:eastAsia="仿宋"/>
                <w:sz w:val="24"/>
                <w:highlight w:val="none"/>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719" w:type="dxa"/>
            <w:vMerge w:val="continue"/>
            <w:tcBorders>
              <w:bottom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hint="eastAsia" w:ascii="仿宋" w:hAnsi="仿宋" w:eastAsia="仿宋"/>
                <w:sz w:val="24"/>
                <w:highlight w:val="none"/>
              </w:rPr>
            </w:pPr>
          </w:p>
        </w:tc>
        <w:tc>
          <w:tcPr>
            <w:tcW w:w="3500" w:type="dxa"/>
            <w:vMerge w:val="continue"/>
            <w:tcBorders>
              <w:bottom w:val="single" w:color="auto" w:sz="12" w:space="0"/>
            </w:tcBorders>
            <w:noWrap w:val="0"/>
            <w:vAlign w:val="top"/>
          </w:tcPr>
          <w:p>
            <w:pPr>
              <w:pageBreakBefore w:val="0"/>
              <w:kinsoku/>
              <w:wordWrap/>
              <w:overflowPunct/>
              <w:topLinePunct w:val="0"/>
              <w:autoSpaceDE/>
              <w:autoSpaceDN/>
              <w:bidi w:val="0"/>
              <w:spacing w:line="560" w:lineRule="exact"/>
              <w:jc w:val="center"/>
              <w:textAlignment w:val="auto"/>
              <w:rPr>
                <w:rFonts w:hint="eastAsia" w:ascii="仿宋" w:hAnsi="仿宋" w:eastAsia="仿宋"/>
                <w:sz w:val="24"/>
                <w:highlight w:val="none"/>
              </w:rPr>
            </w:pPr>
          </w:p>
        </w:tc>
        <w:tc>
          <w:tcPr>
            <w:tcW w:w="4253" w:type="dxa"/>
            <w:tcBorders>
              <w:top w:val="single" w:color="auto" w:sz="4" w:space="0"/>
              <w:bottom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hint="eastAsia" w:ascii="仿宋" w:hAnsi="仿宋" w:eastAsia="仿宋"/>
                <w:sz w:val="24"/>
                <w:highlight w:val="none"/>
              </w:rPr>
              <w:t>作品集（整理）、论集（整理）</w:t>
            </w:r>
          </w:p>
        </w:tc>
        <w:tc>
          <w:tcPr>
            <w:tcW w:w="702" w:type="dxa"/>
            <w:tcBorders>
              <w:top w:val="single" w:color="auto" w:sz="4" w:space="0"/>
              <w:bottom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hint="eastAsia" w:ascii="仿宋" w:hAnsi="仿宋" w:eastAsia="仿宋"/>
                <w:sz w:val="24"/>
                <w:highlight w:val="none"/>
              </w:rPr>
              <w:t>1</w:t>
            </w:r>
            <w:r>
              <w:rPr>
                <w:rFonts w:ascii="仿宋" w:hAnsi="仿宋" w:eastAsia="仿宋"/>
                <w:sz w:val="24"/>
                <w:highlight w:val="none"/>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719" w:type="dxa"/>
            <w:vMerge w:val="restart"/>
            <w:tcBorders>
              <w:top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hint="eastAsia" w:ascii="仿宋" w:hAnsi="仿宋" w:eastAsia="仿宋"/>
                <w:sz w:val="24"/>
                <w:highlight w:val="none"/>
              </w:rPr>
            </w:pPr>
            <w:r>
              <w:rPr>
                <w:rFonts w:hint="eastAsia" w:ascii="仿宋" w:hAnsi="仿宋" w:eastAsia="仿宋"/>
                <w:sz w:val="24"/>
                <w:highlight w:val="none"/>
              </w:rPr>
              <w:t>C</w:t>
            </w:r>
          </w:p>
        </w:tc>
        <w:tc>
          <w:tcPr>
            <w:tcW w:w="3500" w:type="dxa"/>
            <w:vMerge w:val="restart"/>
            <w:tcBorders>
              <w:top w:val="single" w:color="auto" w:sz="12" w:space="0"/>
            </w:tcBorders>
            <w:noWrap w:val="0"/>
            <w:vAlign w:val="top"/>
          </w:tcPr>
          <w:p>
            <w:pPr>
              <w:pageBreakBefore w:val="0"/>
              <w:kinsoku/>
              <w:wordWrap/>
              <w:overflowPunct/>
              <w:topLinePunct w:val="0"/>
              <w:autoSpaceDE/>
              <w:autoSpaceDN/>
              <w:bidi w:val="0"/>
              <w:spacing w:line="560" w:lineRule="exact"/>
              <w:jc w:val="left"/>
              <w:textAlignment w:val="auto"/>
              <w:rPr>
                <w:rFonts w:hint="eastAsia" w:ascii="仿宋" w:hAnsi="仿宋" w:eastAsia="仿宋"/>
                <w:sz w:val="24"/>
                <w:highlight w:val="none"/>
              </w:rPr>
            </w:pPr>
            <w:r>
              <w:rPr>
                <w:rFonts w:hint="eastAsia" w:ascii="仿宋" w:hAnsi="仿宋" w:eastAsia="仿宋"/>
                <w:sz w:val="24"/>
                <w:highlight w:val="none"/>
              </w:rPr>
              <w:t>1.原985高校出版社</w:t>
            </w:r>
          </w:p>
          <w:p>
            <w:pPr>
              <w:pageBreakBefore w:val="0"/>
              <w:kinsoku/>
              <w:wordWrap/>
              <w:overflowPunct/>
              <w:topLinePunct w:val="0"/>
              <w:autoSpaceDE/>
              <w:autoSpaceDN/>
              <w:bidi w:val="0"/>
              <w:spacing w:line="560" w:lineRule="exact"/>
              <w:jc w:val="left"/>
              <w:textAlignment w:val="auto"/>
              <w:rPr>
                <w:rFonts w:hint="eastAsia" w:ascii="仿宋" w:hAnsi="仿宋" w:eastAsia="仿宋"/>
                <w:sz w:val="24"/>
                <w:highlight w:val="none"/>
              </w:rPr>
            </w:pPr>
            <w:r>
              <w:rPr>
                <w:rFonts w:hint="eastAsia" w:ascii="仿宋" w:hAnsi="仿宋" w:eastAsia="仿宋"/>
                <w:sz w:val="24"/>
                <w:highlight w:val="none"/>
              </w:rPr>
              <w:t>2.独立设置的本科艺术院校出版社</w:t>
            </w:r>
          </w:p>
          <w:p>
            <w:pPr>
              <w:pageBreakBefore w:val="0"/>
              <w:kinsoku/>
              <w:wordWrap/>
              <w:overflowPunct/>
              <w:topLinePunct w:val="0"/>
              <w:autoSpaceDE/>
              <w:autoSpaceDN/>
              <w:bidi w:val="0"/>
              <w:spacing w:line="560" w:lineRule="exact"/>
              <w:jc w:val="left"/>
              <w:textAlignment w:val="auto"/>
              <w:rPr>
                <w:rFonts w:hint="eastAsia" w:ascii="仿宋" w:hAnsi="仿宋" w:eastAsia="仿宋"/>
                <w:sz w:val="24"/>
                <w:highlight w:val="none"/>
              </w:rPr>
            </w:pPr>
            <w:r>
              <w:rPr>
                <w:rFonts w:hint="eastAsia" w:ascii="仿宋" w:hAnsi="仿宋" w:eastAsia="仿宋"/>
                <w:sz w:val="24"/>
                <w:highlight w:val="none"/>
              </w:rPr>
              <w:t>3.省、市、自治区人民出版社</w:t>
            </w:r>
          </w:p>
          <w:p>
            <w:pPr>
              <w:pageBreakBefore w:val="0"/>
              <w:kinsoku/>
              <w:wordWrap/>
              <w:overflowPunct/>
              <w:topLinePunct w:val="0"/>
              <w:autoSpaceDE/>
              <w:autoSpaceDN/>
              <w:bidi w:val="0"/>
              <w:spacing w:line="560" w:lineRule="exact"/>
              <w:jc w:val="left"/>
              <w:textAlignment w:val="auto"/>
              <w:rPr>
                <w:rFonts w:hint="eastAsia" w:ascii="仿宋" w:hAnsi="仿宋" w:eastAsia="仿宋"/>
                <w:sz w:val="24"/>
                <w:highlight w:val="none"/>
              </w:rPr>
            </w:pPr>
            <w:r>
              <w:rPr>
                <w:rFonts w:hint="eastAsia" w:ascii="仿宋" w:hAnsi="仿宋" w:eastAsia="仿宋"/>
                <w:sz w:val="24"/>
                <w:highlight w:val="none"/>
              </w:rPr>
              <w:t>4.B级之外的其他国家级出版社</w:t>
            </w:r>
          </w:p>
        </w:tc>
        <w:tc>
          <w:tcPr>
            <w:tcW w:w="4253" w:type="dxa"/>
            <w:tcBorders>
              <w:top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hint="eastAsia" w:ascii="仿宋" w:hAnsi="仿宋" w:eastAsia="仿宋"/>
                <w:sz w:val="24"/>
                <w:highlight w:val="none"/>
              </w:rPr>
              <w:t>学术专著</w:t>
            </w:r>
          </w:p>
        </w:tc>
        <w:tc>
          <w:tcPr>
            <w:tcW w:w="702" w:type="dxa"/>
            <w:tcBorders>
              <w:top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hint="eastAsia" w:ascii="仿宋" w:hAnsi="仿宋" w:eastAsia="仿宋"/>
                <w:sz w:val="24"/>
                <w:highlight w:val="none"/>
              </w:rPr>
              <w:t>1</w:t>
            </w:r>
            <w:r>
              <w:rPr>
                <w:rFonts w:ascii="仿宋" w:hAnsi="仿宋" w:eastAsia="仿宋"/>
                <w:sz w:val="24"/>
                <w:highlight w:val="none"/>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719" w:type="dxa"/>
            <w:vMerge w:val="continue"/>
            <w:noWrap w:val="0"/>
            <w:vAlign w:val="center"/>
          </w:tcPr>
          <w:p>
            <w:pPr>
              <w:pageBreakBefore w:val="0"/>
              <w:kinsoku/>
              <w:wordWrap/>
              <w:overflowPunct/>
              <w:topLinePunct w:val="0"/>
              <w:autoSpaceDE/>
              <w:autoSpaceDN/>
              <w:bidi w:val="0"/>
              <w:spacing w:line="560" w:lineRule="exact"/>
              <w:jc w:val="center"/>
              <w:textAlignment w:val="auto"/>
              <w:rPr>
                <w:rFonts w:hint="eastAsia" w:ascii="仿宋" w:hAnsi="仿宋" w:eastAsia="仿宋"/>
                <w:sz w:val="24"/>
                <w:highlight w:val="none"/>
              </w:rPr>
            </w:pPr>
          </w:p>
        </w:tc>
        <w:tc>
          <w:tcPr>
            <w:tcW w:w="3500" w:type="dxa"/>
            <w:vMerge w:val="continue"/>
            <w:noWrap w:val="0"/>
            <w:vAlign w:val="top"/>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p>
        </w:tc>
        <w:tc>
          <w:tcPr>
            <w:tcW w:w="4253" w:type="dxa"/>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ascii="仿宋" w:hAnsi="仿宋" w:eastAsia="仿宋"/>
                <w:sz w:val="24"/>
                <w:highlight w:val="none"/>
              </w:rPr>
              <w:t>教材</w:t>
            </w:r>
            <w:r>
              <w:rPr>
                <w:rFonts w:hint="eastAsia" w:ascii="仿宋" w:hAnsi="仿宋" w:eastAsia="仿宋"/>
                <w:sz w:val="24"/>
                <w:highlight w:val="none"/>
              </w:rPr>
              <w:t>、</w:t>
            </w:r>
            <w:r>
              <w:rPr>
                <w:rFonts w:ascii="仿宋" w:hAnsi="仿宋" w:eastAsia="仿宋"/>
                <w:sz w:val="24"/>
                <w:highlight w:val="none"/>
              </w:rPr>
              <w:t>编著</w:t>
            </w:r>
            <w:r>
              <w:rPr>
                <w:rFonts w:hint="eastAsia" w:ascii="仿宋" w:hAnsi="仿宋" w:eastAsia="仿宋"/>
                <w:sz w:val="24"/>
                <w:highlight w:val="none"/>
              </w:rPr>
              <w:t>、绘本、</w:t>
            </w:r>
          </w:p>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hint="eastAsia" w:ascii="仿宋" w:hAnsi="仿宋" w:eastAsia="仿宋"/>
                <w:sz w:val="24"/>
                <w:highlight w:val="none"/>
              </w:rPr>
              <w:t>译著、作品集（个人）、论集（个人）</w:t>
            </w:r>
          </w:p>
        </w:tc>
        <w:tc>
          <w:tcPr>
            <w:tcW w:w="702" w:type="dxa"/>
            <w:tcBorders>
              <w:top w:val="single" w:color="auto" w:sz="4" w:space="0"/>
            </w:tcBorders>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hint="eastAsia" w:ascii="仿宋" w:hAnsi="仿宋" w:eastAsia="仿宋"/>
                <w:sz w:val="24"/>
                <w:highlight w:val="none"/>
              </w:rPr>
              <w:t>1</w:t>
            </w:r>
            <w:r>
              <w:rPr>
                <w:rFonts w:ascii="仿宋" w:hAnsi="仿宋" w:eastAsia="仿宋"/>
                <w:sz w:val="24"/>
                <w:highlight w:val="none"/>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719" w:type="dxa"/>
            <w:vMerge w:val="continue"/>
            <w:noWrap w:val="0"/>
            <w:vAlign w:val="center"/>
          </w:tcPr>
          <w:p>
            <w:pPr>
              <w:pageBreakBefore w:val="0"/>
              <w:kinsoku/>
              <w:wordWrap/>
              <w:overflowPunct/>
              <w:topLinePunct w:val="0"/>
              <w:autoSpaceDE/>
              <w:autoSpaceDN/>
              <w:bidi w:val="0"/>
              <w:spacing w:line="560" w:lineRule="exact"/>
              <w:jc w:val="center"/>
              <w:textAlignment w:val="auto"/>
              <w:rPr>
                <w:rFonts w:hint="eastAsia" w:ascii="仿宋" w:hAnsi="仿宋" w:eastAsia="仿宋"/>
                <w:sz w:val="24"/>
                <w:highlight w:val="none"/>
              </w:rPr>
            </w:pPr>
          </w:p>
        </w:tc>
        <w:tc>
          <w:tcPr>
            <w:tcW w:w="3500" w:type="dxa"/>
            <w:vMerge w:val="continue"/>
            <w:noWrap w:val="0"/>
            <w:vAlign w:val="top"/>
          </w:tcPr>
          <w:p>
            <w:pPr>
              <w:pageBreakBefore w:val="0"/>
              <w:kinsoku/>
              <w:wordWrap/>
              <w:overflowPunct/>
              <w:topLinePunct w:val="0"/>
              <w:autoSpaceDE/>
              <w:autoSpaceDN/>
              <w:bidi w:val="0"/>
              <w:spacing w:line="560" w:lineRule="exact"/>
              <w:jc w:val="center"/>
              <w:textAlignment w:val="auto"/>
              <w:rPr>
                <w:rFonts w:hint="eastAsia" w:ascii="仿宋" w:hAnsi="仿宋" w:eastAsia="仿宋"/>
                <w:sz w:val="24"/>
                <w:highlight w:val="none"/>
              </w:rPr>
            </w:pPr>
          </w:p>
        </w:tc>
        <w:tc>
          <w:tcPr>
            <w:tcW w:w="4253" w:type="dxa"/>
            <w:tcBorders>
              <w:bottom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hint="eastAsia" w:ascii="仿宋" w:hAnsi="仿宋" w:eastAsia="仿宋"/>
                <w:sz w:val="24"/>
                <w:highlight w:val="none"/>
              </w:rPr>
              <w:t>作品集（整理）、论集（整理）</w:t>
            </w:r>
          </w:p>
        </w:tc>
        <w:tc>
          <w:tcPr>
            <w:tcW w:w="702" w:type="dxa"/>
            <w:tcBorders>
              <w:top w:val="single" w:color="auto" w:sz="4" w:space="0"/>
            </w:tcBorders>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hint="eastAsia" w:ascii="仿宋" w:hAnsi="仿宋" w:eastAsia="仿宋"/>
                <w:sz w:val="24"/>
                <w:highlight w:val="none"/>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 w:hRule="atLeast"/>
        </w:trPr>
        <w:tc>
          <w:tcPr>
            <w:tcW w:w="719" w:type="dxa"/>
            <w:vMerge w:val="restart"/>
            <w:tcBorders>
              <w:top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hint="eastAsia" w:ascii="仿宋" w:hAnsi="仿宋" w:eastAsia="仿宋"/>
                <w:sz w:val="24"/>
                <w:highlight w:val="none"/>
              </w:rPr>
              <w:t>D</w:t>
            </w:r>
          </w:p>
        </w:tc>
        <w:tc>
          <w:tcPr>
            <w:tcW w:w="3500" w:type="dxa"/>
            <w:vMerge w:val="restart"/>
            <w:tcBorders>
              <w:top w:val="single" w:color="auto" w:sz="12" w:space="0"/>
            </w:tcBorders>
            <w:noWrap w:val="0"/>
            <w:vAlign w:val="center"/>
          </w:tcPr>
          <w:p>
            <w:pPr>
              <w:pageBreakBefore w:val="0"/>
              <w:kinsoku/>
              <w:wordWrap/>
              <w:overflowPunct/>
              <w:topLinePunct w:val="0"/>
              <w:autoSpaceDE/>
              <w:autoSpaceDN/>
              <w:bidi w:val="0"/>
              <w:spacing w:line="560" w:lineRule="exact"/>
              <w:textAlignment w:val="auto"/>
              <w:rPr>
                <w:rFonts w:hint="eastAsia" w:ascii="仿宋" w:hAnsi="仿宋" w:eastAsia="仿宋"/>
                <w:sz w:val="24"/>
                <w:highlight w:val="none"/>
              </w:rPr>
            </w:pPr>
            <w:r>
              <w:rPr>
                <w:rFonts w:hint="eastAsia" w:ascii="仿宋" w:hAnsi="仿宋" w:eastAsia="仿宋"/>
                <w:sz w:val="24"/>
                <w:highlight w:val="none"/>
              </w:rPr>
              <w:t>学校认定的A、B、C级之外的其他出版社</w:t>
            </w:r>
          </w:p>
        </w:tc>
        <w:tc>
          <w:tcPr>
            <w:tcW w:w="4253" w:type="dxa"/>
            <w:tcBorders>
              <w:top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hint="eastAsia" w:ascii="仿宋" w:hAnsi="仿宋" w:eastAsia="仿宋"/>
                <w:sz w:val="24"/>
                <w:highlight w:val="none"/>
              </w:rPr>
              <w:t>学术专著</w:t>
            </w:r>
          </w:p>
        </w:tc>
        <w:tc>
          <w:tcPr>
            <w:tcW w:w="702" w:type="dxa"/>
            <w:tcBorders>
              <w:top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ascii="仿宋" w:hAnsi="仿宋" w:eastAsia="仿宋"/>
                <w:sz w:val="24"/>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trPr>
        <w:tc>
          <w:tcPr>
            <w:tcW w:w="719" w:type="dxa"/>
            <w:vMerge w:val="continue"/>
            <w:noWrap w:val="0"/>
            <w:vAlign w:val="top"/>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p>
        </w:tc>
        <w:tc>
          <w:tcPr>
            <w:tcW w:w="3500" w:type="dxa"/>
            <w:vMerge w:val="continue"/>
            <w:noWrap w:val="0"/>
            <w:vAlign w:val="top"/>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p>
        </w:tc>
        <w:tc>
          <w:tcPr>
            <w:tcW w:w="4253" w:type="dxa"/>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ascii="仿宋" w:hAnsi="仿宋" w:eastAsia="仿宋"/>
                <w:sz w:val="24"/>
                <w:highlight w:val="none"/>
              </w:rPr>
              <w:t>教材</w:t>
            </w:r>
            <w:r>
              <w:rPr>
                <w:rFonts w:hint="eastAsia" w:ascii="仿宋" w:hAnsi="仿宋" w:eastAsia="仿宋"/>
                <w:sz w:val="24"/>
                <w:highlight w:val="none"/>
              </w:rPr>
              <w:t>、</w:t>
            </w:r>
            <w:r>
              <w:rPr>
                <w:rFonts w:ascii="仿宋" w:hAnsi="仿宋" w:eastAsia="仿宋"/>
                <w:sz w:val="24"/>
                <w:highlight w:val="none"/>
              </w:rPr>
              <w:t>编著</w:t>
            </w:r>
            <w:r>
              <w:rPr>
                <w:rFonts w:hint="eastAsia" w:ascii="仿宋" w:hAnsi="仿宋" w:eastAsia="仿宋"/>
                <w:sz w:val="24"/>
                <w:highlight w:val="none"/>
              </w:rPr>
              <w:t>、绘本、</w:t>
            </w:r>
          </w:p>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hint="eastAsia" w:ascii="仿宋" w:hAnsi="仿宋" w:eastAsia="仿宋"/>
                <w:sz w:val="24"/>
                <w:highlight w:val="none"/>
              </w:rPr>
              <w:t>译著、作品集（个人）、论集（个人）</w:t>
            </w:r>
          </w:p>
        </w:tc>
        <w:tc>
          <w:tcPr>
            <w:tcW w:w="702" w:type="dxa"/>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ascii="仿宋" w:hAnsi="仿宋" w:eastAsia="仿宋"/>
                <w:sz w:val="24"/>
                <w:highlight w:val="none"/>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 w:hRule="atLeast"/>
        </w:trPr>
        <w:tc>
          <w:tcPr>
            <w:tcW w:w="719" w:type="dxa"/>
            <w:vMerge w:val="continue"/>
            <w:noWrap w:val="0"/>
            <w:vAlign w:val="top"/>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p>
        </w:tc>
        <w:tc>
          <w:tcPr>
            <w:tcW w:w="3500" w:type="dxa"/>
            <w:vMerge w:val="continue"/>
            <w:noWrap w:val="0"/>
            <w:vAlign w:val="top"/>
          </w:tcPr>
          <w:p>
            <w:pPr>
              <w:pageBreakBefore w:val="0"/>
              <w:kinsoku/>
              <w:wordWrap/>
              <w:overflowPunct/>
              <w:topLinePunct w:val="0"/>
              <w:autoSpaceDE/>
              <w:autoSpaceDN/>
              <w:bidi w:val="0"/>
              <w:spacing w:line="560" w:lineRule="exact"/>
              <w:jc w:val="center"/>
              <w:textAlignment w:val="auto"/>
              <w:rPr>
                <w:rFonts w:hint="eastAsia" w:ascii="仿宋" w:hAnsi="仿宋" w:eastAsia="仿宋"/>
                <w:sz w:val="24"/>
                <w:highlight w:val="none"/>
              </w:rPr>
            </w:pPr>
          </w:p>
        </w:tc>
        <w:tc>
          <w:tcPr>
            <w:tcW w:w="4253" w:type="dxa"/>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hint="eastAsia" w:ascii="仿宋" w:hAnsi="仿宋" w:eastAsia="仿宋"/>
                <w:sz w:val="24"/>
                <w:highlight w:val="none"/>
              </w:rPr>
              <w:t>作品集（整理）、论集（整理）</w:t>
            </w:r>
          </w:p>
        </w:tc>
        <w:tc>
          <w:tcPr>
            <w:tcW w:w="702" w:type="dxa"/>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ascii="仿宋" w:hAnsi="仿宋" w:eastAsia="仿宋"/>
                <w:sz w:val="24"/>
                <w:highlight w:val="none"/>
              </w:rPr>
              <w:t>6</w:t>
            </w:r>
          </w:p>
        </w:tc>
      </w:tr>
    </w:tbl>
    <w:p>
      <w:pPr>
        <w:pageBreakBefore w:val="0"/>
        <w:kinsoku/>
        <w:wordWrap/>
        <w:overflowPunct/>
        <w:topLinePunct w:val="0"/>
        <w:autoSpaceDE/>
        <w:autoSpaceDN/>
        <w:bidi w:val="0"/>
        <w:spacing w:line="560" w:lineRule="exact"/>
        <w:ind w:firstLine="480" w:firstLineChars="200"/>
        <w:textAlignment w:val="auto"/>
        <w:rPr>
          <w:rFonts w:ascii="仿宋" w:hAnsi="仿宋" w:eastAsia="仿宋"/>
          <w:sz w:val="24"/>
          <w:highlight w:val="none"/>
        </w:rPr>
      </w:pPr>
      <w:r>
        <w:rPr>
          <w:rFonts w:hint="eastAsia" w:ascii="仿宋" w:hAnsi="仿宋" w:eastAsia="仿宋"/>
          <w:sz w:val="24"/>
          <w:highlight w:val="none"/>
        </w:rPr>
        <w:t>注：</w:t>
      </w:r>
      <w:r>
        <w:rPr>
          <w:rFonts w:hint="eastAsia" w:ascii="仿宋" w:hAnsi="仿宋" w:eastAsia="仿宋"/>
          <w:b/>
          <w:sz w:val="24"/>
          <w:highlight w:val="none"/>
        </w:rPr>
        <w:t>1</w:t>
      </w:r>
      <w:r>
        <w:rPr>
          <w:rFonts w:ascii="仿宋" w:hAnsi="仿宋" w:eastAsia="仿宋"/>
          <w:b/>
          <w:sz w:val="24"/>
          <w:highlight w:val="none"/>
        </w:rPr>
        <w:t>.</w:t>
      </w:r>
      <w:r>
        <w:rPr>
          <w:rFonts w:hint="eastAsia" w:ascii="仿宋" w:hAnsi="仿宋" w:eastAsia="仿宋"/>
          <w:sz w:val="24"/>
          <w:highlight w:val="none"/>
        </w:rPr>
        <w:t>“编著”指个人或集体编撰的学术著作，或资料型、校注型学术著作；</w:t>
      </w:r>
      <w:r>
        <w:rPr>
          <w:rFonts w:ascii="仿宋" w:hAnsi="仿宋" w:eastAsia="仿宋"/>
          <w:b/>
          <w:sz w:val="24"/>
          <w:highlight w:val="none"/>
        </w:rPr>
        <w:t>2.</w:t>
      </w:r>
      <w:r>
        <w:rPr>
          <w:rFonts w:ascii="仿宋" w:hAnsi="仿宋" w:eastAsia="仿宋"/>
          <w:sz w:val="24"/>
          <w:highlight w:val="none"/>
        </w:rPr>
        <w:t>“作品集”</w:t>
      </w:r>
      <w:r>
        <w:rPr>
          <w:rFonts w:hint="eastAsia" w:ascii="仿宋" w:hAnsi="仿宋" w:eastAsia="仿宋"/>
          <w:sz w:val="24"/>
          <w:highlight w:val="none"/>
        </w:rPr>
        <w:t>指编辑出版的各类内容为曲谱、图谱、美术、设计作品的汇编；</w:t>
      </w:r>
      <w:r>
        <w:rPr>
          <w:rFonts w:hint="eastAsia" w:ascii="仿宋" w:hAnsi="仿宋" w:eastAsia="仿宋"/>
          <w:b/>
          <w:bCs/>
          <w:sz w:val="24"/>
          <w:highlight w:val="none"/>
        </w:rPr>
        <w:t>3</w:t>
      </w:r>
      <w:r>
        <w:rPr>
          <w:rFonts w:ascii="仿宋" w:hAnsi="仿宋" w:eastAsia="仿宋"/>
          <w:b/>
          <w:bCs/>
          <w:sz w:val="24"/>
          <w:highlight w:val="none"/>
        </w:rPr>
        <w:t>.</w:t>
      </w:r>
      <w:r>
        <w:rPr>
          <w:rFonts w:hint="eastAsia" w:ascii="仿宋" w:hAnsi="仿宋" w:eastAsia="仿宋"/>
          <w:sz w:val="24"/>
          <w:highlight w:val="none"/>
        </w:rPr>
        <w:t>“论集”指编辑出版的论文汇编；</w:t>
      </w:r>
      <w:r>
        <w:rPr>
          <w:rFonts w:hint="eastAsia" w:ascii="仿宋" w:hAnsi="仿宋" w:eastAsia="仿宋"/>
          <w:b/>
          <w:sz w:val="24"/>
          <w:highlight w:val="none"/>
        </w:rPr>
        <w:t>4.</w:t>
      </w:r>
      <w:r>
        <w:rPr>
          <w:rFonts w:ascii="仿宋" w:hAnsi="仿宋" w:eastAsia="仿宋"/>
          <w:sz w:val="24"/>
          <w:highlight w:val="none"/>
        </w:rPr>
        <w:t>入选《国家哲学社会科学成果文库》</w:t>
      </w:r>
      <w:r>
        <w:rPr>
          <w:rFonts w:hint="eastAsia" w:ascii="仿宋" w:hAnsi="仿宋" w:eastAsia="仿宋"/>
          <w:sz w:val="24"/>
          <w:highlight w:val="none"/>
        </w:rPr>
        <w:t>的著作</w:t>
      </w:r>
      <w:r>
        <w:rPr>
          <w:rFonts w:ascii="仿宋" w:hAnsi="仿宋" w:eastAsia="仿宋"/>
          <w:sz w:val="24"/>
          <w:highlight w:val="none"/>
        </w:rPr>
        <w:t>加</w:t>
      </w:r>
      <w:r>
        <w:rPr>
          <w:rFonts w:hint="eastAsia" w:ascii="仿宋" w:hAnsi="仿宋" w:eastAsia="仿宋"/>
          <w:sz w:val="24"/>
          <w:highlight w:val="none"/>
        </w:rPr>
        <w:t>1</w:t>
      </w:r>
      <w:r>
        <w:rPr>
          <w:rFonts w:ascii="仿宋" w:hAnsi="仿宋" w:eastAsia="仿宋"/>
          <w:sz w:val="24"/>
          <w:highlight w:val="none"/>
        </w:rPr>
        <w:t>0分</w:t>
      </w:r>
      <w:r>
        <w:rPr>
          <w:rFonts w:hint="eastAsia" w:ascii="仿宋" w:hAnsi="仿宋" w:eastAsia="仿宋"/>
          <w:sz w:val="24"/>
          <w:highlight w:val="none"/>
        </w:rPr>
        <w:t>，</w:t>
      </w:r>
      <w:r>
        <w:rPr>
          <w:rFonts w:ascii="仿宋" w:hAnsi="仿宋" w:eastAsia="仿宋"/>
          <w:sz w:val="24"/>
          <w:highlight w:val="none"/>
        </w:rPr>
        <w:t>获得“</w:t>
      </w:r>
      <w:r>
        <w:rPr>
          <w:rFonts w:hint="eastAsia" w:ascii="仿宋" w:hAnsi="仿宋" w:eastAsia="仿宋"/>
          <w:sz w:val="24"/>
          <w:highlight w:val="none"/>
        </w:rPr>
        <w:t>中国出版政府奖</w:t>
      </w:r>
      <w:r>
        <w:rPr>
          <w:rFonts w:ascii="仿宋" w:hAnsi="仿宋" w:eastAsia="仿宋"/>
          <w:sz w:val="24"/>
          <w:highlight w:val="none"/>
        </w:rPr>
        <w:t>”等国家级图书出版奖的著作</w:t>
      </w:r>
      <w:r>
        <w:rPr>
          <w:rFonts w:hint="eastAsia" w:ascii="仿宋" w:hAnsi="仿宋" w:eastAsia="仿宋"/>
          <w:sz w:val="24"/>
          <w:highlight w:val="none"/>
        </w:rPr>
        <w:t>，图书奖加</w:t>
      </w:r>
      <w:r>
        <w:rPr>
          <w:rFonts w:ascii="仿宋" w:hAnsi="仿宋" w:eastAsia="仿宋"/>
          <w:sz w:val="24"/>
          <w:highlight w:val="none"/>
        </w:rPr>
        <w:t>15分</w:t>
      </w:r>
      <w:r>
        <w:rPr>
          <w:rFonts w:hint="eastAsia" w:ascii="仿宋" w:hAnsi="仿宋" w:eastAsia="仿宋"/>
          <w:sz w:val="24"/>
          <w:highlight w:val="none"/>
        </w:rPr>
        <w:t>、</w:t>
      </w:r>
      <w:r>
        <w:rPr>
          <w:rFonts w:ascii="仿宋" w:hAnsi="仿宋" w:eastAsia="仿宋"/>
          <w:sz w:val="24"/>
          <w:highlight w:val="none"/>
        </w:rPr>
        <w:t>提名奖加</w:t>
      </w:r>
      <w:r>
        <w:rPr>
          <w:rFonts w:hint="eastAsia" w:ascii="仿宋" w:hAnsi="仿宋" w:eastAsia="仿宋"/>
          <w:sz w:val="24"/>
          <w:highlight w:val="none"/>
        </w:rPr>
        <w:t>1</w:t>
      </w:r>
      <w:r>
        <w:rPr>
          <w:rFonts w:ascii="仿宋" w:hAnsi="仿宋" w:eastAsia="仿宋"/>
          <w:sz w:val="24"/>
          <w:highlight w:val="none"/>
        </w:rPr>
        <w:t>0分。</w:t>
      </w:r>
      <w:r>
        <w:rPr>
          <w:rFonts w:ascii="仿宋" w:hAnsi="仿宋" w:eastAsia="仿宋"/>
          <w:b/>
          <w:sz w:val="24"/>
          <w:highlight w:val="none"/>
        </w:rPr>
        <w:t>5.</w:t>
      </w:r>
      <w:r>
        <w:rPr>
          <w:rFonts w:hint="eastAsia" w:ascii="仿宋" w:hAnsi="仿宋" w:eastAsia="仿宋"/>
          <w:sz w:val="24"/>
          <w:highlight w:val="none"/>
        </w:rPr>
        <w:t>专著、编著、绘本、译著、作品集（含个人和整理）、论集（含个人和整理）总印数300册及以上、教材</w:t>
      </w:r>
      <w:r>
        <w:rPr>
          <w:rFonts w:ascii="仿宋" w:hAnsi="仿宋" w:eastAsia="仿宋"/>
          <w:sz w:val="24"/>
          <w:highlight w:val="none"/>
        </w:rPr>
        <w:t>3</w:t>
      </w:r>
      <w:r>
        <w:rPr>
          <w:rFonts w:hint="eastAsia" w:ascii="仿宋" w:hAnsi="仿宋" w:eastAsia="仿宋"/>
          <w:sz w:val="24"/>
          <w:highlight w:val="none"/>
        </w:rPr>
        <w:t>000册及以上加1分。</w:t>
      </w:r>
      <w:r>
        <w:rPr>
          <w:rFonts w:ascii="仿宋" w:hAnsi="仿宋" w:eastAsia="仿宋"/>
          <w:b/>
          <w:sz w:val="24"/>
          <w:highlight w:val="none"/>
        </w:rPr>
        <w:t>6.</w:t>
      </w:r>
      <w:r>
        <w:rPr>
          <w:rFonts w:hint="eastAsia" w:ascii="仿宋" w:hAnsi="仿宋" w:eastAsia="仿宋"/>
          <w:sz w:val="24"/>
          <w:highlight w:val="none"/>
        </w:rPr>
        <w:t>集体完成的著作第一作者按成果分值</w:t>
      </w:r>
      <w:r>
        <w:rPr>
          <w:rFonts w:ascii="仿宋" w:hAnsi="仿宋" w:eastAsia="仿宋"/>
          <w:sz w:val="24"/>
          <w:highlight w:val="none"/>
        </w:rPr>
        <w:t>80</w:t>
      </w:r>
      <w:r>
        <w:rPr>
          <w:rFonts w:hint="eastAsia" w:ascii="仿宋" w:hAnsi="仿宋" w:eastAsia="仿宋"/>
          <w:sz w:val="24"/>
          <w:highlight w:val="none"/>
        </w:rPr>
        <w:t>﹪计分。如另有一名合著人员，则该人员按</w:t>
      </w:r>
      <w:r>
        <w:rPr>
          <w:rFonts w:ascii="仿宋" w:hAnsi="仿宋" w:eastAsia="仿宋"/>
          <w:sz w:val="24"/>
          <w:highlight w:val="none"/>
        </w:rPr>
        <w:t>6</w:t>
      </w:r>
      <w:r>
        <w:rPr>
          <w:rFonts w:hint="eastAsia" w:ascii="仿宋" w:hAnsi="仿宋" w:eastAsia="仿宋"/>
          <w:sz w:val="24"/>
          <w:highlight w:val="none"/>
        </w:rPr>
        <w:t>0%计分;如另有二名合著人员，则合著人员中排名第一位者按</w:t>
      </w:r>
      <w:r>
        <w:rPr>
          <w:rFonts w:ascii="仿宋" w:hAnsi="仿宋" w:eastAsia="仿宋"/>
          <w:sz w:val="24"/>
          <w:highlight w:val="none"/>
        </w:rPr>
        <w:t>5</w:t>
      </w:r>
      <w:r>
        <w:rPr>
          <w:rFonts w:hint="eastAsia" w:ascii="仿宋" w:hAnsi="仿宋" w:eastAsia="仿宋"/>
          <w:sz w:val="24"/>
          <w:highlight w:val="none"/>
        </w:rPr>
        <w:t>0%计分，排名第二位者按</w:t>
      </w:r>
      <w:r>
        <w:rPr>
          <w:rFonts w:ascii="仿宋" w:hAnsi="仿宋" w:eastAsia="仿宋"/>
          <w:sz w:val="24"/>
          <w:highlight w:val="none"/>
        </w:rPr>
        <w:t>40</w:t>
      </w:r>
      <w:r>
        <w:rPr>
          <w:rFonts w:hint="eastAsia" w:ascii="仿宋" w:hAnsi="仿宋" w:eastAsia="仿宋"/>
          <w:sz w:val="24"/>
          <w:highlight w:val="none"/>
        </w:rPr>
        <w:t>%计分；如另有三名成员，则合著人员中排名第一位者按</w:t>
      </w:r>
      <w:r>
        <w:rPr>
          <w:rFonts w:ascii="仿宋" w:hAnsi="仿宋" w:eastAsia="仿宋"/>
          <w:sz w:val="24"/>
          <w:highlight w:val="none"/>
        </w:rPr>
        <w:t>40</w:t>
      </w:r>
      <w:r>
        <w:rPr>
          <w:rFonts w:hint="eastAsia" w:ascii="仿宋" w:hAnsi="仿宋" w:eastAsia="仿宋"/>
          <w:sz w:val="24"/>
          <w:highlight w:val="none"/>
        </w:rPr>
        <w:t>%计分，排名第二位者按</w:t>
      </w:r>
      <w:r>
        <w:rPr>
          <w:rFonts w:ascii="仿宋" w:hAnsi="仿宋" w:eastAsia="仿宋"/>
          <w:sz w:val="24"/>
          <w:highlight w:val="none"/>
        </w:rPr>
        <w:t>30</w:t>
      </w:r>
      <w:r>
        <w:rPr>
          <w:rFonts w:hint="eastAsia" w:ascii="仿宋" w:hAnsi="仿宋" w:eastAsia="仿宋"/>
          <w:sz w:val="24"/>
          <w:highlight w:val="none"/>
        </w:rPr>
        <w:t>%计分；排名第三位者按</w:t>
      </w:r>
      <w:r>
        <w:rPr>
          <w:rFonts w:ascii="仿宋" w:hAnsi="仿宋" w:eastAsia="仿宋"/>
          <w:sz w:val="24"/>
          <w:highlight w:val="none"/>
        </w:rPr>
        <w:t>25</w:t>
      </w:r>
      <w:r>
        <w:rPr>
          <w:rFonts w:hint="eastAsia" w:ascii="仿宋" w:hAnsi="仿宋" w:eastAsia="仿宋"/>
          <w:sz w:val="24"/>
          <w:highlight w:val="none"/>
        </w:rPr>
        <w:t>%计分；如另有四名（含）以上成员，则合著成员每人均按25%计分，分数不低于该项分值的四分之一。如集体完成的著作除第一作者外合著人员无排名，则按书稿实际完成百分比赋分。</w:t>
      </w:r>
      <w:r>
        <w:rPr>
          <w:rFonts w:ascii="仿宋" w:hAnsi="仿宋" w:eastAsia="仿宋"/>
          <w:b/>
          <w:sz w:val="24"/>
          <w:highlight w:val="none"/>
        </w:rPr>
        <w:t>7.</w:t>
      </w:r>
      <w:r>
        <w:rPr>
          <w:rFonts w:ascii="仿宋" w:hAnsi="仿宋" w:eastAsia="仿宋"/>
          <w:sz w:val="24"/>
          <w:highlight w:val="none"/>
        </w:rPr>
        <w:t>电子图书</w:t>
      </w:r>
      <w:r>
        <w:rPr>
          <w:rFonts w:hint="eastAsia" w:ascii="仿宋" w:hAnsi="仿宋" w:eastAsia="仿宋"/>
          <w:sz w:val="24"/>
          <w:highlight w:val="none"/>
        </w:rPr>
        <w:t>2025年及以后出版降级认定</w:t>
      </w:r>
      <w:r>
        <w:rPr>
          <w:rFonts w:ascii="仿宋" w:hAnsi="仿宋" w:eastAsia="仿宋"/>
          <w:sz w:val="24"/>
          <w:highlight w:val="none"/>
        </w:rPr>
        <w:t>。</w:t>
      </w:r>
    </w:p>
    <w:p>
      <w:pPr>
        <w:pageBreakBefore w:val="0"/>
        <w:widowControl/>
        <w:kinsoku/>
        <w:wordWrap/>
        <w:overflowPunct/>
        <w:topLinePunct w:val="0"/>
        <w:autoSpaceDE/>
        <w:autoSpaceDN/>
        <w:bidi w:val="0"/>
        <w:spacing w:line="560" w:lineRule="exact"/>
        <w:ind w:firstLine="643" w:firstLineChars="200"/>
        <w:jc w:val="left"/>
        <w:textAlignment w:val="auto"/>
        <w:rPr>
          <w:rFonts w:ascii="仿宋" w:hAnsi="仿宋" w:eastAsia="仿宋" w:cs="宋体"/>
          <w:b/>
          <w:kern w:val="0"/>
          <w:sz w:val="32"/>
          <w:szCs w:val="32"/>
          <w:highlight w:val="none"/>
        </w:rPr>
      </w:pPr>
      <w:r>
        <w:rPr>
          <w:rFonts w:hint="eastAsia" w:ascii="仿宋" w:hAnsi="仿宋" w:eastAsia="仿宋" w:cs="宋体"/>
          <w:b/>
          <w:kern w:val="0"/>
          <w:sz w:val="32"/>
          <w:szCs w:val="32"/>
          <w:highlight w:val="none"/>
          <w:lang w:val="en-US" w:eastAsia="zh-CN"/>
        </w:rPr>
        <w:t>2.</w:t>
      </w:r>
      <w:r>
        <w:rPr>
          <w:rFonts w:ascii="仿宋" w:hAnsi="仿宋" w:eastAsia="仿宋" w:cs="宋体"/>
          <w:b/>
          <w:kern w:val="0"/>
          <w:sz w:val="32"/>
          <w:szCs w:val="32"/>
          <w:highlight w:val="none"/>
        </w:rPr>
        <w:t>获奖</w:t>
      </w:r>
      <w:r>
        <w:rPr>
          <w:rFonts w:hint="eastAsia" w:ascii="仿宋" w:hAnsi="仿宋" w:eastAsia="仿宋" w:cs="宋体"/>
          <w:b/>
          <w:kern w:val="0"/>
          <w:sz w:val="32"/>
          <w:szCs w:val="32"/>
          <w:highlight w:val="none"/>
        </w:rPr>
        <w:t>分级和分值</w:t>
      </w:r>
    </w:p>
    <w:tbl>
      <w:tblPr>
        <w:tblStyle w:val="4"/>
        <w:tblW w:w="89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9"/>
        <w:gridCol w:w="633"/>
        <w:gridCol w:w="5753"/>
        <w:gridCol w:w="1304"/>
        <w:gridCol w:w="5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1312" w:type="dxa"/>
            <w:gridSpan w:val="2"/>
            <w:tcBorders>
              <w:top w:val="single" w:color="auto" w:sz="4" w:space="0"/>
              <w:left w:val="single" w:color="auto" w:sz="4" w:space="0"/>
            </w:tcBorders>
            <w:shd w:val="clear" w:color="auto" w:fill="BDD6EE"/>
            <w:noWrap w:val="0"/>
            <w:vAlign w:val="center"/>
          </w:tcPr>
          <w:p>
            <w:pPr>
              <w:pageBreakBefore w:val="0"/>
              <w:kinsoku/>
              <w:wordWrap/>
              <w:overflowPunct/>
              <w:topLinePunct w:val="0"/>
              <w:autoSpaceDE/>
              <w:autoSpaceDN/>
              <w:bidi w:val="0"/>
              <w:spacing w:line="560" w:lineRule="exact"/>
              <w:jc w:val="center"/>
              <w:textAlignment w:val="auto"/>
              <w:rPr>
                <w:rFonts w:hint="eastAsia" w:ascii="宋体" w:hAnsi="宋体"/>
                <w:b/>
                <w:sz w:val="24"/>
                <w:highlight w:val="none"/>
              </w:rPr>
            </w:pPr>
            <w:r>
              <w:rPr>
                <w:rFonts w:hint="eastAsia" w:ascii="宋体" w:hAnsi="宋体"/>
                <w:b/>
                <w:sz w:val="24"/>
                <w:highlight w:val="none"/>
              </w:rPr>
              <w:t>分级</w:t>
            </w:r>
          </w:p>
        </w:tc>
        <w:tc>
          <w:tcPr>
            <w:tcW w:w="5753" w:type="dxa"/>
            <w:tcBorders>
              <w:top w:val="single" w:color="auto" w:sz="4" w:space="0"/>
              <w:bottom w:val="single" w:color="auto" w:sz="12" w:space="0"/>
            </w:tcBorders>
            <w:shd w:val="clear" w:color="auto" w:fill="BDD6EE"/>
            <w:noWrap w:val="0"/>
            <w:vAlign w:val="center"/>
          </w:tcPr>
          <w:p>
            <w:pPr>
              <w:pageBreakBefore w:val="0"/>
              <w:kinsoku/>
              <w:wordWrap/>
              <w:overflowPunct/>
              <w:topLinePunct w:val="0"/>
              <w:autoSpaceDE/>
              <w:autoSpaceDN/>
              <w:bidi w:val="0"/>
              <w:spacing w:line="560" w:lineRule="exact"/>
              <w:jc w:val="center"/>
              <w:textAlignment w:val="auto"/>
              <w:rPr>
                <w:rFonts w:hint="eastAsia" w:ascii="宋体" w:hAnsi="宋体"/>
                <w:b/>
                <w:sz w:val="24"/>
                <w:highlight w:val="none"/>
              </w:rPr>
            </w:pPr>
            <w:r>
              <w:rPr>
                <w:rFonts w:hint="eastAsia" w:ascii="宋体" w:hAnsi="宋体"/>
                <w:b/>
                <w:sz w:val="24"/>
                <w:highlight w:val="none"/>
              </w:rPr>
              <w:t>奖项名称</w:t>
            </w:r>
          </w:p>
        </w:tc>
        <w:tc>
          <w:tcPr>
            <w:tcW w:w="1304" w:type="dxa"/>
            <w:tcBorders>
              <w:top w:val="single" w:color="auto" w:sz="4" w:space="0"/>
              <w:bottom w:val="single" w:color="auto" w:sz="12" w:space="0"/>
            </w:tcBorders>
            <w:shd w:val="clear" w:color="auto" w:fill="BDD6EE"/>
            <w:noWrap w:val="0"/>
            <w:vAlign w:val="center"/>
          </w:tcPr>
          <w:p>
            <w:pPr>
              <w:pageBreakBefore w:val="0"/>
              <w:kinsoku/>
              <w:wordWrap/>
              <w:overflowPunct/>
              <w:topLinePunct w:val="0"/>
              <w:autoSpaceDE/>
              <w:autoSpaceDN/>
              <w:bidi w:val="0"/>
              <w:spacing w:line="560" w:lineRule="exact"/>
              <w:jc w:val="center"/>
              <w:textAlignment w:val="auto"/>
              <w:rPr>
                <w:rFonts w:ascii="宋体" w:hAnsi="宋体"/>
                <w:b/>
                <w:sz w:val="24"/>
                <w:highlight w:val="none"/>
              </w:rPr>
            </w:pPr>
            <w:r>
              <w:rPr>
                <w:rFonts w:hint="eastAsia" w:ascii="宋体" w:hAnsi="宋体"/>
                <w:b/>
                <w:sz w:val="24"/>
                <w:highlight w:val="none"/>
              </w:rPr>
              <w:t>获奖</w:t>
            </w:r>
          </w:p>
          <w:p>
            <w:pPr>
              <w:pageBreakBefore w:val="0"/>
              <w:kinsoku/>
              <w:wordWrap/>
              <w:overflowPunct/>
              <w:topLinePunct w:val="0"/>
              <w:autoSpaceDE/>
              <w:autoSpaceDN/>
              <w:bidi w:val="0"/>
              <w:spacing w:line="560" w:lineRule="exact"/>
              <w:jc w:val="center"/>
              <w:textAlignment w:val="auto"/>
              <w:rPr>
                <w:rFonts w:hint="eastAsia" w:ascii="宋体" w:hAnsi="宋体"/>
                <w:b/>
                <w:sz w:val="24"/>
                <w:highlight w:val="none"/>
              </w:rPr>
            </w:pPr>
            <w:r>
              <w:rPr>
                <w:rFonts w:hint="eastAsia" w:ascii="宋体" w:hAnsi="宋体"/>
                <w:b/>
                <w:sz w:val="24"/>
                <w:highlight w:val="none"/>
              </w:rPr>
              <w:t>等次</w:t>
            </w:r>
          </w:p>
        </w:tc>
        <w:tc>
          <w:tcPr>
            <w:tcW w:w="598" w:type="dxa"/>
            <w:tcBorders>
              <w:top w:val="single" w:color="auto" w:sz="4" w:space="0"/>
              <w:bottom w:val="single" w:color="auto" w:sz="12" w:space="0"/>
              <w:right w:val="single" w:color="auto" w:sz="4" w:space="0"/>
            </w:tcBorders>
            <w:shd w:val="clear" w:color="auto" w:fill="BDD6EE"/>
            <w:noWrap w:val="0"/>
            <w:vAlign w:val="center"/>
          </w:tcPr>
          <w:p>
            <w:pPr>
              <w:pageBreakBefore w:val="0"/>
              <w:kinsoku/>
              <w:wordWrap/>
              <w:overflowPunct/>
              <w:topLinePunct w:val="0"/>
              <w:autoSpaceDE/>
              <w:autoSpaceDN/>
              <w:bidi w:val="0"/>
              <w:spacing w:line="560" w:lineRule="exact"/>
              <w:jc w:val="center"/>
              <w:textAlignment w:val="auto"/>
              <w:rPr>
                <w:rFonts w:ascii="宋体" w:hAnsi="宋体"/>
                <w:b/>
                <w:sz w:val="24"/>
                <w:highlight w:val="none"/>
              </w:rPr>
            </w:pPr>
            <w:r>
              <w:rPr>
                <w:rFonts w:hint="eastAsia" w:ascii="宋体" w:hAnsi="宋体"/>
                <w:b/>
                <w:sz w:val="24"/>
                <w:highlight w:val="none"/>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679" w:type="dxa"/>
            <w:vMerge w:val="restart"/>
            <w:tcBorders>
              <w:top w:val="single" w:color="auto" w:sz="12" w:space="0"/>
              <w:left w:val="single" w:color="auto" w:sz="4" w:space="0"/>
            </w:tcBorders>
            <w:noWrap w:val="0"/>
            <w:vAlign w:val="center"/>
          </w:tcPr>
          <w:p>
            <w:pPr>
              <w:pageBreakBefore w:val="0"/>
              <w:kinsoku/>
              <w:wordWrap/>
              <w:overflowPunct/>
              <w:topLinePunct w:val="0"/>
              <w:autoSpaceDE/>
              <w:autoSpaceDN/>
              <w:bidi w:val="0"/>
              <w:spacing w:line="560" w:lineRule="exact"/>
              <w:jc w:val="center"/>
              <w:textAlignment w:val="auto"/>
              <w:rPr>
                <w:rFonts w:hint="eastAsia" w:ascii="宋体" w:hAnsi="宋体"/>
                <w:b/>
                <w:sz w:val="24"/>
                <w:highlight w:val="none"/>
              </w:rPr>
            </w:pPr>
            <w:r>
              <w:rPr>
                <w:rFonts w:hint="eastAsia" w:ascii="宋体" w:hAnsi="宋体"/>
                <w:b/>
                <w:sz w:val="24"/>
                <w:highlight w:val="none"/>
              </w:rPr>
              <w:t>A级</w:t>
            </w:r>
          </w:p>
        </w:tc>
        <w:tc>
          <w:tcPr>
            <w:tcW w:w="633" w:type="dxa"/>
            <w:tcBorders>
              <w:top w:val="single" w:color="auto" w:sz="12" w:space="0"/>
              <w:bottom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ascii="宋体" w:hAnsi="宋体"/>
                <w:sz w:val="24"/>
                <w:highlight w:val="none"/>
              </w:rPr>
            </w:pPr>
            <w:r>
              <w:rPr>
                <w:rFonts w:hint="eastAsia" w:ascii="宋体" w:hAnsi="宋体"/>
                <w:sz w:val="24"/>
                <w:highlight w:val="none"/>
              </w:rPr>
              <w:t>A+</w:t>
            </w:r>
          </w:p>
        </w:tc>
        <w:tc>
          <w:tcPr>
            <w:tcW w:w="5753" w:type="dxa"/>
            <w:tcBorders>
              <w:top w:val="single" w:color="auto" w:sz="12" w:space="0"/>
              <w:bottom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ascii="宋体" w:hAnsi="宋体"/>
                <w:sz w:val="24"/>
                <w:highlight w:val="none"/>
              </w:rPr>
            </w:pPr>
            <w:bookmarkStart w:id="5" w:name="_Hlk142234564"/>
            <w:r>
              <w:rPr>
                <w:rFonts w:hint="eastAsia" w:ascii="宋体" w:hAnsi="宋体"/>
                <w:sz w:val="24"/>
                <w:highlight w:val="none"/>
              </w:rPr>
              <w:t>教育部高等学校科学研究优秀成果奖</w:t>
            </w:r>
            <w:bookmarkEnd w:id="5"/>
            <w:r>
              <w:rPr>
                <w:rFonts w:hint="eastAsia" w:ascii="宋体" w:hAnsi="宋体"/>
                <w:sz w:val="24"/>
                <w:highlight w:val="none"/>
              </w:rPr>
              <w:t>（人文社会科学）</w:t>
            </w:r>
          </w:p>
        </w:tc>
        <w:tc>
          <w:tcPr>
            <w:tcW w:w="1304" w:type="dxa"/>
            <w:tcBorders>
              <w:top w:val="single" w:color="auto" w:sz="12" w:space="0"/>
              <w:bottom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ascii="宋体" w:hAnsi="宋体"/>
                <w:sz w:val="24"/>
                <w:highlight w:val="none"/>
              </w:rPr>
            </w:pPr>
            <w:r>
              <w:rPr>
                <w:rFonts w:hint="eastAsia" w:ascii="宋体" w:hAnsi="宋体"/>
                <w:sz w:val="24"/>
                <w:highlight w:val="none"/>
              </w:rPr>
              <w:t>特等奖</w:t>
            </w:r>
          </w:p>
        </w:tc>
        <w:tc>
          <w:tcPr>
            <w:tcW w:w="598" w:type="dxa"/>
            <w:tcBorders>
              <w:top w:val="single" w:color="auto" w:sz="12" w:space="0"/>
              <w:bottom w:val="single" w:color="auto" w:sz="12" w:space="0"/>
              <w:right w:val="single" w:color="auto" w:sz="4" w:space="0"/>
            </w:tcBorders>
            <w:noWrap w:val="0"/>
            <w:vAlign w:val="center"/>
          </w:tcPr>
          <w:p>
            <w:pPr>
              <w:pageBreakBefore w:val="0"/>
              <w:kinsoku/>
              <w:wordWrap/>
              <w:overflowPunct/>
              <w:topLinePunct w:val="0"/>
              <w:autoSpaceDE/>
              <w:autoSpaceDN/>
              <w:bidi w:val="0"/>
              <w:spacing w:line="560" w:lineRule="exact"/>
              <w:jc w:val="center"/>
              <w:textAlignment w:val="auto"/>
              <w:rPr>
                <w:rFonts w:hint="eastAsia" w:ascii="宋体" w:hAnsi="宋体"/>
                <w:sz w:val="24"/>
                <w:highlight w:val="none"/>
              </w:rPr>
            </w:pPr>
            <w:r>
              <w:rPr>
                <w:rFonts w:ascii="宋体" w:hAnsi="宋体"/>
                <w:sz w:val="24"/>
                <w:highlight w:val="none"/>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679" w:type="dxa"/>
            <w:vMerge w:val="continue"/>
            <w:tcBorders>
              <w:left w:val="single" w:color="auto" w:sz="4" w:space="0"/>
            </w:tcBorders>
            <w:noWrap w:val="0"/>
            <w:vAlign w:val="center"/>
          </w:tcPr>
          <w:p>
            <w:pPr>
              <w:pageBreakBefore w:val="0"/>
              <w:kinsoku/>
              <w:wordWrap/>
              <w:overflowPunct/>
              <w:topLinePunct w:val="0"/>
              <w:autoSpaceDE/>
              <w:autoSpaceDN/>
              <w:bidi w:val="0"/>
              <w:spacing w:line="560" w:lineRule="exact"/>
              <w:jc w:val="center"/>
              <w:textAlignment w:val="auto"/>
              <w:rPr>
                <w:rFonts w:hint="eastAsia" w:ascii="宋体" w:hAnsi="宋体"/>
                <w:sz w:val="24"/>
                <w:highlight w:val="none"/>
              </w:rPr>
            </w:pPr>
          </w:p>
        </w:tc>
        <w:tc>
          <w:tcPr>
            <w:tcW w:w="633" w:type="dxa"/>
            <w:vMerge w:val="restart"/>
            <w:tcBorders>
              <w:top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hint="eastAsia" w:ascii="宋体" w:hAnsi="宋体"/>
                <w:sz w:val="24"/>
                <w:highlight w:val="none"/>
              </w:rPr>
            </w:pPr>
            <w:r>
              <w:rPr>
                <w:rFonts w:hint="eastAsia" w:ascii="宋体" w:hAnsi="宋体"/>
                <w:sz w:val="24"/>
                <w:highlight w:val="none"/>
              </w:rPr>
              <w:t>A</w:t>
            </w:r>
          </w:p>
        </w:tc>
        <w:tc>
          <w:tcPr>
            <w:tcW w:w="5753" w:type="dxa"/>
            <w:tcBorders>
              <w:top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hint="eastAsia" w:ascii="宋体" w:hAnsi="宋体"/>
                <w:sz w:val="24"/>
                <w:highlight w:val="none"/>
              </w:rPr>
            </w:pPr>
            <w:r>
              <w:rPr>
                <w:rFonts w:hint="eastAsia" w:ascii="宋体" w:hAnsi="宋体"/>
                <w:sz w:val="24"/>
                <w:highlight w:val="none"/>
              </w:rPr>
              <w:t>教育部高等学校科学研究优秀成果奖（人文社会科学）</w:t>
            </w:r>
          </w:p>
        </w:tc>
        <w:tc>
          <w:tcPr>
            <w:tcW w:w="1304" w:type="dxa"/>
            <w:vMerge w:val="restart"/>
            <w:tcBorders>
              <w:top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hint="eastAsia" w:ascii="宋体" w:hAnsi="宋体"/>
                <w:sz w:val="24"/>
                <w:highlight w:val="none"/>
              </w:rPr>
            </w:pPr>
            <w:r>
              <w:rPr>
                <w:rFonts w:hint="eastAsia" w:ascii="宋体" w:hAnsi="宋体"/>
                <w:sz w:val="24"/>
                <w:highlight w:val="none"/>
              </w:rPr>
              <w:t>一等奖</w:t>
            </w:r>
          </w:p>
        </w:tc>
        <w:tc>
          <w:tcPr>
            <w:tcW w:w="598" w:type="dxa"/>
            <w:tcBorders>
              <w:top w:val="single" w:color="auto" w:sz="12" w:space="0"/>
              <w:right w:val="single" w:color="auto" w:sz="4" w:space="0"/>
            </w:tcBorders>
            <w:noWrap w:val="0"/>
            <w:vAlign w:val="center"/>
          </w:tcPr>
          <w:p>
            <w:pPr>
              <w:pageBreakBefore w:val="0"/>
              <w:kinsoku/>
              <w:wordWrap/>
              <w:overflowPunct/>
              <w:topLinePunct w:val="0"/>
              <w:autoSpaceDE/>
              <w:autoSpaceDN/>
              <w:bidi w:val="0"/>
              <w:spacing w:line="560" w:lineRule="exact"/>
              <w:jc w:val="center"/>
              <w:textAlignment w:val="auto"/>
              <w:rPr>
                <w:rFonts w:ascii="宋体" w:hAnsi="宋体"/>
                <w:sz w:val="24"/>
                <w:highlight w:val="none"/>
              </w:rPr>
            </w:pPr>
            <w:r>
              <w:rPr>
                <w:rFonts w:ascii="宋体" w:hAnsi="宋体"/>
                <w:sz w:val="24"/>
                <w:highlight w:val="none"/>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679" w:type="dxa"/>
            <w:vMerge w:val="continue"/>
            <w:tcBorders>
              <w:left w:val="single" w:color="auto" w:sz="4" w:space="0"/>
            </w:tcBorders>
            <w:noWrap w:val="0"/>
            <w:vAlign w:val="center"/>
          </w:tcPr>
          <w:p>
            <w:pPr>
              <w:pageBreakBefore w:val="0"/>
              <w:kinsoku/>
              <w:wordWrap/>
              <w:overflowPunct/>
              <w:topLinePunct w:val="0"/>
              <w:autoSpaceDE/>
              <w:autoSpaceDN/>
              <w:bidi w:val="0"/>
              <w:spacing w:line="560" w:lineRule="exact"/>
              <w:jc w:val="center"/>
              <w:textAlignment w:val="auto"/>
              <w:rPr>
                <w:rFonts w:hint="eastAsia" w:ascii="宋体" w:hAnsi="宋体"/>
                <w:sz w:val="24"/>
                <w:highlight w:val="none"/>
              </w:rPr>
            </w:pPr>
          </w:p>
        </w:tc>
        <w:tc>
          <w:tcPr>
            <w:tcW w:w="633" w:type="dxa"/>
            <w:vMerge w:val="continue"/>
            <w:noWrap w:val="0"/>
            <w:vAlign w:val="center"/>
          </w:tcPr>
          <w:p>
            <w:pPr>
              <w:pageBreakBefore w:val="0"/>
              <w:kinsoku/>
              <w:wordWrap/>
              <w:overflowPunct/>
              <w:topLinePunct w:val="0"/>
              <w:autoSpaceDE/>
              <w:autoSpaceDN/>
              <w:bidi w:val="0"/>
              <w:spacing w:line="560" w:lineRule="exact"/>
              <w:jc w:val="center"/>
              <w:textAlignment w:val="auto"/>
              <w:rPr>
                <w:rFonts w:ascii="宋体" w:hAnsi="宋体"/>
                <w:sz w:val="24"/>
                <w:highlight w:val="none"/>
              </w:rPr>
            </w:pPr>
          </w:p>
        </w:tc>
        <w:tc>
          <w:tcPr>
            <w:tcW w:w="5753" w:type="dxa"/>
            <w:tcBorders>
              <w:bottom w:val="single" w:color="auto" w:sz="4" w:space="0"/>
            </w:tcBorders>
            <w:noWrap w:val="0"/>
            <w:vAlign w:val="center"/>
          </w:tcPr>
          <w:p>
            <w:pPr>
              <w:pageBreakBefore w:val="0"/>
              <w:kinsoku/>
              <w:wordWrap/>
              <w:overflowPunct/>
              <w:topLinePunct w:val="0"/>
              <w:autoSpaceDE/>
              <w:autoSpaceDN/>
              <w:bidi w:val="0"/>
              <w:spacing w:line="560" w:lineRule="exact"/>
              <w:jc w:val="center"/>
              <w:textAlignment w:val="auto"/>
              <w:rPr>
                <w:rFonts w:ascii="宋体" w:hAnsi="宋体"/>
                <w:sz w:val="24"/>
                <w:highlight w:val="none"/>
              </w:rPr>
            </w:pPr>
            <w:r>
              <w:rPr>
                <w:rFonts w:hint="eastAsia" w:ascii="宋体" w:hAnsi="宋体"/>
                <w:sz w:val="24"/>
                <w:highlight w:val="none"/>
              </w:rPr>
              <w:t>全国教育科学研究优秀成果奖</w:t>
            </w:r>
          </w:p>
        </w:tc>
        <w:tc>
          <w:tcPr>
            <w:tcW w:w="1304" w:type="dxa"/>
            <w:vMerge w:val="continue"/>
            <w:tcBorders>
              <w:bottom w:val="single" w:color="auto" w:sz="4" w:space="0"/>
            </w:tcBorders>
            <w:noWrap w:val="0"/>
            <w:vAlign w:val="center"/>
          </w:tcPr>
          <w:p>
            <w:pPr>
              <w:pageBreakBefore w:val="0"/>
              <w:kinsoku/>
              <w:wordWrap/>
              <w:overflowPunct/>
              <w:topLinePunct w:val="0"/>
              <w:autoSpaceDE/>
              <w:autoSpaceDN/>
              <w:bidi w:val="0"/>
              <w:spacing w:line="560" w:lineRule="exact"/>
              <w:jc w:val="center"/>
              <w:textAlignment w:val="auto"/>
              <w:rPr>
                <w:rFonts w:ascii="宋体" w:hAnsi="宋体"/>
                <w:sz w:val="24"/>
                <w:highlight w:val="none"/>
              </w:rPr>
            </w:pPr>
          </w:p>
        </w:tc>
        <w:tc>
          <w:tcPr>
            <w:tcW w:w="598" w:type="dxa"/>
            <w:tcBorders>
              <w:bottom w:val="single" w:color="auto" w:sz="4" w:space="0"/>
              <w:right w:val="single" w:color="auto" w:sz="4" w:space="0"/>
            </w:tcBorders>
            <w:noWrap w:val="0"/>
            <w:vAlign w:val="center"/>
          </w:tcPr>
          <w:p>
            <w:pPr>
              <w:pageBreakBefore w:val="0"/>
              <w:kinsoku/>
              <w:wordWrap/>
              <w:overflowPunct/>
              <w:topLinePunct w:val="0"/>
              <w:autoSpaceDE/>
              <w:autoSpaceDN/>
              <w:bidi w:val="0"/>
              <w:spacing w:line="560" w:lineRule="exact"/>
              <w:jc w:val="center"/>
              <w:textAlignment w:val="auto"/>
              <w:rPr>
                <w:rFonts w:ascii="宋体" w:hAnsi="宋体"/>
                <w:sz w:val="24"/>
                <w:highlight w:val="none"/>
              </w:rPr>
            </w:pPr>
            <w:r>
              <w:rPr>
                <w:rFonts w:ascii="宋体" w:hAnsi="宋体"/>
                <w:sz w:val="24"/>
                <w:highlight w:val="none"/>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679" w:type="dxa"/>
            <w:vMerge w:val="continue"/>
            <w:tcBorders>
              <w:left w:val="single" w:color="auto" w:sz="4" w:space="0"/>
            </w:tcBorders>
            <w:noWrap w:val="0"/>
            <w:vAlign w:val="center"/>
          </w:tcPr>
          <w:p>
            <w:pPr>
              <w:pageBreakBefore w:val="0"/>
              <w:kinsoku/>
              <w:wordWrap/>
              <w:overflowPunct/>
              <w:topLinePunct w:val="0"/>
              <w:autoSpaceDE/>
              <w:autoSpaceDN/>
              <w:bidi w:val="0"/>
              <w:spacing w:line="560" w:lineRule="exact"/>
              <w:jc w:val="center"/>
              <w:textAlignment w:val="auto"/>
              <w:rPr>
                <w:rFonts w:hint="eastAsia" w:ascii="宋体" w:hAnsi="宋体"/>
                <w:sz w:val="24"/>
                <w:highlight w:val="none"/>
              </w:rPr>
            </w:pPr>
          </w:p>
        </w:tc>
        <w:tc>
          <w:tcPr>
            <w:tcW w:w="633" w:type="dxa"/>
            <w:vMerge w:val="continue"/>
            <w:tcBorders>
              <w:bottom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ascii="宋体" w:hAnsi="宋体"/>
                <w:sz w:val="24"/>
                <w:highlight w:val="none"/>
              </w:rPr>
            </w:pPr>
          </w:p>
        </w:tc>
        <w:tc>
          <w:tcPr>
            <w:tcW w:w="5753" w:type="dxa"/>
            <w:tcBorders>
              <w:top w:val="single" w:color="auto" w:sz="4" w:space="0"/>
              <w:bottom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hint="eastAsia" w:ascii="宋体" w:hAnsi="宋体"/>
                <w:sz w:val="24"/>
                <w:highlight w:val="none"/>
              </w:rPr>
            </w:pPr>
            <w:r>
              <w:rPr>
                <w:rFonts w:hint="eastAsia" w:ascii="宋体" w:hAnsi="宋体"/>
                <w:sz w:val="24"/>
                <w:highlight w:val="none"/>
              </w:rPr>
              <w:t>全国精神文明建设</w:t>
            </w:r>
            <w:r>
              <w:rPr>
                <w:rFonts w:ascii="宋体" w:hAnsi="宋体"/>
                <w:sz w:val="24"/>
                <w:highlight w:val="none"/>
              </w:rPr>
              <w:t>“五个一工程”奖</w:t>
            </w:r>
          </w:p>
        </w:tc>
        <w:tc>
          <w:tcPr>
            <w:tcW w:w="1304" w:type="dxa"/>
            <w:tcBorders>
              <w:top w:val="single" w:color="auto" w:sz="4" w:space="0"/>
              <w:bottom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ascii="宋体" w:hAnsi="宋体"/>
                <w:sz w:val="24"/>
                <w:highlight w:val="none"/>
              </w:rPr>
            </w:pPr>
            <w:r>
              <w:rPr>
                <w:rFonts w:ascii="宋体" w:hAnsi="宋体"/>
                <w:sz w:val="24"/>
                <w:highlight w:val="none"/>
              </w:rPr>
              <w:t>理论成果</w:t>
            </w:r>
          </w:p>
        </w:tc>
        <w:tc>
          <w:tcPr>
            <w:tcW w:w="598" w:type="dxa"/>
            <w:tcBorders>
              <w:top w:val="single" w:color="auto" w:sz="4" w:space="0"/>
              <w:bottom w:val="single" w:color="auto" w:sz="12" w:space="0"/>
              <w:right w:val="single" w:color="auto" w:sz="4" w:space="0"/>
            </w:tcBorders>
            <w:noWrap w:val="0"/>
            <w:vAlign w:val="center"/>
          </w:tcPr>
          <w:p>
            <w:pPr>
              <w:pageBreakBefore w:val="0"/>
              <w:kinsoku/>
              <w:wordWrap/>
              <w:overflowPunct/>
              <w:topLinePunct w:val="0"/>
              <w:autoSpaceDE/>
              <w:autoSpaceDN/>
              <w:bidi w:val="0"/>
              <w:spacing w:line="560" w:lineRule="exact"/>
              <w:jc w:val="center"/>
              <w:textAlignment w:val="auto"/>
              <w:rPr>
                <w:rFonts w:ascii="宋体" w:hAnsi="宋体"/>
                <w:sz w:val="24"/>
                <w:highlight w:val="none"/>
              </w:rPr>
            </w:pPr>
            <w:r>
              <w:rPr>
                <w:rFonts w:hint="eastAsia" w:ascii="宋体" w:hAnsi="宋体"/>
                <w:sz w:val="24"/>
                <w:highlight w:val="none"/>
              </w:rPr>
              <w:t>2</w:t>
            </w:r>
            <w:r>
              <w:rPr>
                <w:rFonts w:ascii="宋体" w:hAnsi="宋体"/>
                <w:sz w:val="24"/>
                <w:highlight w:val="none"/>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679" w:type="dxa"/>
            <w:vMerge w:val="continue"/>
            <w:tcBorders>
              <w:left w:val="single" w:color="auto" w:sz="4" w:space="0"/>
            </w:tcBorders>
            <w:noWrap w:val="0"/>
            <w:vAlign w:val="center"/>
          </w:tcPr>
          <w:p>
            <w:pPr>
              <w:pageBreakBefore w:val="0"/>
              <w:kinsoku/>
              <w:wordWrap/>
              <w:overflowPunct/>
              <w:topLinePunct w:val="0"/>
              <w:autoSpaceDE/>
              <w:autoSpaceDN/>
              <w:bidi w:val="0"/>
              <w:spacing w:line="560" w:lineRule="exact"/>
              <w:jc w:val="center"/>
              <w:textAlignment w:val="auto"/>
              <w:rPr>
                <w:rFonts w:hint="eastAsia" w:ascii="宋体" w:hAnsi="宋体"/>
                <w:sz w:val="24"/>
                <w:highlight w:val="none"/>
              </w:rPr>
            </w:pPr>
          </w:p>
        </w:tc>
        <w:tc>
          <w:tcPr>
            <w:tcW w:w="633" w:type="dxa"/>
            <w:vMerge w:val="restart"/>
            <w:tcBorders>
              <w:top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hint="eastAsia" w:ascii="宋体" w:hAnsi="宋体"/>
                <w:sz w:val="24"/>
                <w:highlight w:val="none"/>
              </w:rPr>
            </w:pPr>
            <w:r>
              <w:rPr>
                <w:rFonts w:hint="eastAsia" w:ascii="宋体" w:hAnsi="宋体"/>
                <w:sz w:val="24"/>
                <w:highlight w:val="none"/>
              </w:rPr>
              <w:t>A-</w:t>
            </w:r>
          </w:p>
        </w:tc>
        <w:tc>
          <w:tcPr>
            <w:tcW w:w="5753" w:type="dxa"/>
            <w:tcBorders>
              <w:top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ascii="宋体" w:hAnsi="宋体"/>
                <w:sz w:val="24"/>
                <w:highlight w:val="none"/>
              </w:rPr>
            </w:pPr>
            <w:bookmarkStart w:id="6" w:name="_Hlk142236497"/>
            <w:r>
              <w:rPr>
                <w:rFonts w:hint="eastAsia" w:ascii="宋体" w:hAnsi="宋体"/>
                <w:sz w:val="24"/>
                <w:highlight w:val="none"/>
              </w:rPr>
              <w:t>教育部高等学校科学研究优秀成果奖</w:t>
            </w:r>
            <w:bookmarkEnd w:id="6"/>
            <w:r>
              <w:rPr>
                <w:rFonts w:hint="eastAsia" w:ascii="宋体" w:hAnsi="宋体"/>
                <w:sz w:val="24"/>
                <w:highlight w:val="none"/>
              </w:rPr>
              <w:t>（人文社会科学）</w:t>
            </w:r>
          </w:p>
        </w:tc>
        <w:tc>
          <w:tcPr>
            <w:tcW w:w="1304" w:type="dxa"/>
            <w:vMerge w:val="restart"/>
            <w:tcBorders>
              <w:top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ascii="宋体" w:hAnsi="宋体"/>
                <w:sz w:val="24"/>
                <w:highlight w:val="none"/>
              </w:rPr>
            </w:pPr>
            <w:r>
              <w:rPr>
                <w:rFonts w:hint="eastAsia" w:ascii="宋体" w:hAnsi="宋体"/>
                <w:sz w:val="24"/>
                <w:highlight w:val="none"/>
              </w:rPr>
              <w:t>二等奖</w:t>
            </w:r>
          </w:p>
        </w:tc>
        <w:tc>
          <w:tcPr>
            <w:tcW w:w="598" w:type="dxa"/>
            <w:tcBorders>
              <w:top w:val="single" w:color="auto" w:sz="12" w:space="0"/>
              <w:right w:val="single" w:color="auto" w:sz="4" w:space="0"/>
            </w:tcBorders>
            <w:noWrap w:val="0"/>
            <w:vAlign w:val="center"/>
          </w:tcPr>
          <w:p>
            <w:pPr>
              <w:pageBreakBefore w:val="0"/>
              <w:kinsoku/>
              <w:wordWrap/>
              <w:overflowPunct/>
              <w:topLinePunct w:val="0"/>
              <w:autoSpaceDE/>
              <w:autoSpaceDN/>
              <w:bidi w:val="0"/>
              <w:spacing w:line="560" w:lineRule="exact"/>
              <w:jc w:val="center"/>
              <w:textAlignment w:val="auto"/>
              <w:rPr>
                <w:rFonts w:ascii="宋体" w:hAnsi="宋体"/>
                <w:sz w:val="24"/>
                <w:highlight w:val="none"/>
              </w:rPr>
            </w:pPr>
            <w:r>
              <w:rPr>
                <w:rFonts w:ascii="宋体" w:hAnsi="宋体"/>
                <w:sz w:val="24"/>
                <w:highlight w:val="none"/>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679" w:type="dxa"/>
            <w:vMerge w:val="continue"/>
            <w:tcBorders>
              <w:left w:val="single" w:color="auto" w:sz="4" w:space="0"/>
            </w:tcBorders>
            <w:noWrap w:val="0"/>
            <w:vAlign w:val="center"/>
          </w:tcPr>
          <w:p>
            <w:pPr>
              <w:pageBreakBefore w:val="0"/>
              <w:kinsoku/>
              <w:wordWrap/>
              <w:overflowPunct/>
              <w:topLinePunct w:val="0"/>
              <w:autoSpaceDE/>
              <w:autoSpaceDN/>
              <w:bidi w:val="0"/>
              <w:spacing w:line="560" w:lineRule="exact"/>
              <w:jc w:val="center"/>
              <w:textAlignment w:val="auto"/>
              <w:rPr>
                <w:rFonts w:hint="eastAsia" w:ascii="宋体" w:hAnsi="宋体"/>
                <w:sz w:val="24"/>
                <w:highlight w:val="none"/>
              </w:rPr>
            </w:pPr>
          </w:p>
        </w:tc>
        <w:tc>
          <w:tcPr>
            <w:tcW w:w="633" w:type="dxa"/>
            <w:vMerge w:val="continue"/>
            <w:noWrap w:val="0"/>
            <w:vAlign w:val="center"/>
          </w:tcPr>
          <w:p>
            <w:pPr>
              <w:pageBreakBefore w:val="0"/>
              <w:kinsoku/>
              <w:wordWrap/>
              <w:overflowPunct/>
              <w:topLinePunct w:val="0"/>
              <w:autoSpaceDE/>
              <w:autoSpaceDN/>
              <w:bidi w:val="0"/>
              <w:spacing w:line="560" w:lineRule="exact"/>
              <w:jc w:val="center"/>
              <w:textAlignment w:val="auto"/>
              <w:rPr>
                <w:rFonts w:ascii="宋体" w:hAnsi="宋体"/>
                <w:sz w:val="24"/>
                <w:highlight w:val="none"/>
              </w:rPr>
            </w:pPr>
          </w:p>
        </w:tc>
        <w:tc>
          <w:tcPr>
            <w:tcW w:w="5753" w:type="dxa"/>
            <w:noWrap w:val="0"/>
            <w:vAlign w:val="center"/>
          </w:tcPr>
          <w:p>
            <w:pPr>
              <w:pageBreakBefore w:val="0"/>
              <w:kinsoku/>
              <w:wordWrap/>
              <w:overflowPunct/>
              <w:topLinePunct w:val="0"/>
              <w:autoSpaceDE/>
              <w:autoSpaceDN/>
              <w:bidi w:val="0"/>
              <w:spacing w:line="560" w:lineRule="exact"/>
              <w:jc w:val="center"/>
              <w:textAlignment w:val="auto"/>
              <w:rPr>
                <w:rFonts w:ascii="宋体" w:hAnsi="宋体"/>
                <w:sz w:val="24"/>
                <w:highlight w:val="none"/>
              </w:rPr>
            </w:pPr>
            <w:r>
              <w:rPr>
                <w:rFonts w:hint="eastAsia" w:ascii="宋体" w:hAnsi="宋体"/>
                <w:sz w:val="24"/>
                <w:highlight w:val="none"/>
              </w:rPr>
              <w:t>全国教育科学研究优秀成果奖</w:t>
            </w:r>
          </w:p>
        </w:tc>
        <w:tc>
          <w:tcPr>
            <w:tcW w:w="1304" w:type="dxa"/>
            <w:vMerge w:val="continue"/>
            <w:noWrap w:val="0"/>
            <w:vAlign w:val="center"/>
          </w:tcPr>
          <w:p>
            <w:pPr>
              <w:pageBreakBefore w:val="0"/>
              <w:kinsoku/>
              <w:wordWrap/>
              <w:overflowPunct/>
              <w:topLinePunct w:val="0"/>
              <w:autoSpaceDE/>
              <w:autoSpaceDN/>
              <w:bidi w:val="0"/>
              <w:spacing w:line="560" w:lineRule="exact"/>
              <w:jc w:val="center"/>
              <w:textAlignment w:val="auto"/>
              <w:rPr>
                <w:rFonts w:ascii="宋体" w:hAnsi="宋体"/>
                <w:sz w:val="24"/>
                <w:highlight w:val="none"/>
              </w:rPr>
            </w:pPr>
          </w:p>
        </w:tc>
        <w:tc>
          <w:tcPr>
            <w:tcW w:w="598" w:type="dxa"/>
            <w:tcBorders>
              <w:right w:val="single" w:color="auto" w:sz="4" w:space="0"/>
            </w:tcBorders>
            <w:noWrap w:val="0"/>
            <w:vAlign w:val="center"/>
          </w:tcPr>
          <w:p>
            <w:pPr>
              <w:pageBreakBefore w:val="0"/>
              <w:kinsoku/>
              <w:wordWrap/>
              <w:overflowPunct/>
              <w:topLinePunct w:val="0"/>
              <w:autoSpaceDE/>
              <w:autoSpaceDN/>
              <w:bidi w:val="0"/>
              <w:spacing w:line="560" w:lineRule="exact"/>
              <w:jc w:val="center"/>
              <w:textAlignment w:val="auto"/>
              <w:rPr>
                <w:rFonts w:hint="eastAsia" w:ascii="宋体" w:hAnsi="宋体"/>
                <w:sz w:val="24"/>
                <w:highlight w:val="none"/>
              </w:rPr>
            </w:pPr>
            <w:r>
              <w:rPr>
                <w:rFonts w:ascii="宋体" w:hAnsi="宋体"/>
                <w:sz w:val="24"/>
                <w:highlight w:val="none"/>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679" w:type="dxa"/>
            <w:vMerge w:val="continue"/>
            <w:tcBorders>
              <w:left w:val="single" w:color="auto" w:sz="4" w:space="0"/>
            </w:tcBorders>
            <w:noWrap w:val="0"/>
            <w:vAlign w:val="center"/>
          </w:tcPr>
          <w:p>
            <w:pPr>
              <w:pageBreakBefore w:val="0"/>
              <w:kinsoku/>
              <w:wordWrap/>
              <w:overflowPunct/>
              <w:topLinePunct w:val="0"/>
              <w:autoSpaceDE/>
              <w:autoSpaceDN/>
              <w:bidi w:val="0"/>
              <w:spacing w:line="560" w:lineRule="exact"/>
              <w:jc w:val="center"/>
              <w:textAlignment w:val="auto"/>
              <w:rPr>
                <w:rFonts w:hint="eastAsia" w:ascii="宋体" w:hAnsi="宋体"/>
                <w:sz w:val="24"/>
                <w:highlight w:val="none"/>
              </w:rPr>
            </w:pPr>
          </w:p>
        </w:tc>
        <w:tc>
          <w:tcPr>
            <w:tcW w:w="633" w:type="dxa"/>
            <w:vMerge w:val="continue"/>
            <w:noWrap w:val="0"/>
            <w:vAlign w:val="center"/>
          </w:tcPr>
          <w:p>
            <w:pPr>
              <w:pageBreakBefore w:val="0"/>
              <w:kinsoku/>
              <w:wordWrap/>
              <w:overflowPunct/>
              <w:topLinePunct w:val="0"/>
              <w:autoSpaceDE/>
              <w:autoSpaceDN/>
              <w:bidi w:val="0"/>
              <w:spacing w:line="560" w:lineRule="exact"/>
              <w:jc w:val="center"/>
              <w:textAlignment w:val="auto"/>
              <w:rPr>
                <w:rFonts w:ascii="宋体" w:hAnsi="宋体"/>
                <w:sz w:val="24"/>
                <w:highlight w:val="none"/>
              </w:rPr>
            </w:pPr>
          </w:p>
        </w:tc>
        <w:tc>
          <w:tcPr>
            <w:tcW w:w="5753" w:type="dxa"/>
            <w:noWrap w:val="0"/>
            <w:vAlign w:val="center"/>
          </w:tcPr>
          <w:p>
            <w:pPr>
              <w:pageBreakBefore w:val="0"/>
              <w:kinsoku/>
              <w:wordWrap/>
              <w:overflowPunct/>
              <w:topLinePunct w:val="0"/>
              <w:autoSpaceDE/>
              <w:autoSpaceDN/>
              <w:bidi w:val="0"/>
              <w:spacing w:line="560" w:lineRule="exact"/>
              <w:jc w:val="center"/>
              <w:textAlignment w:val="auto"/>
              <w:rPr>
                <w:rFonts w:ascii="宋体" w:hAnsi="宋体"/>
                <w:sz w:val="24"/>
                <w:highlight w:val="none"/>
              </w:rPr>
            </w:pPr>
            <w:r>
              <w:rPr>
                <w:rFonts w:hint="eastAsia" w:ascii="宋体" w:hAnsi="宋体"/>
                <w:sz w:val="24"/>
                <w:highlight w:val="none"/>
              </w:rPr>
              <w:t>内蒙古自治区“哲学社会科学奖”</w:t>
            </w:r>
          </w:p>
        </w:tc>
        <w:tc>
          <w:tcPr>
            <w:tcW w:w="1304" w:type="dxa"/>
            <w:noWrap w:val="0"/>
            <w:vAlign w:val="center"/>
          </w:tcPr>
          <w:p>
            <w:pPr>
              <w:pageBreakBefore w:val="0"/>
              <w:kinsoku/>
              <w:wordWrap/>
              <w:overflowPunct/>
              <w:topLinePunct w:val="0"/>
              <w:autoSpaceDE/>
              <w:autoSpaceDN/>
              <w:bidi w:val="0"/>
              <w:spacing w:line="560" w:lineRule="exact"/>
              <w:jc w:val="center"/>
              <w:textAlignment w:val="auto"/>
              <w:rPr>
                <w:rFonts w:ascii="宋体" w:hAnsi="宋体"/>
                <w:sz w:val="24"/>
                <w:highlight w:val="none"/>
              </w:rPr>
            </w:pPr>
            <w:r>
              <w:rPr>
                <w:rFonts w:hint="eastAsia" w:ascii="宋体" w:hAnsi="宋体"/>
                <w:sz w:val="24"/>
                <w:highlight w:val="none"/>
              </w:rPr>
              <w:t>一等奖</w:t>
            </w:r>
          </w:p>
        </w:tc>
        <w:tc>
          <w:tcPr>
            <w:tcW w:w="598" w:type="dxa"/>
            <w:tcBorders>
              <w:right w:val="single" w:color="auto" w:sz="4" w:space="0"/>
            </w:tcBorders>
            <w:noWrap w:val="0"/>
            <w:vAlign w:val="center"/>
          </w:tcPr>
          <w:p>
            <w:pPr>
              <w:pageBreakBefore w:val="0"/>
              <w:kinsoku/>
              <w:wordWrap/>
              <w:overflowPunct/>
              <w:topLinePunct w:val="0"/>
              <w:autoSpaceDE/>
              <w:autoSpaceDN/>
              <w:bidi w:val="0"/>
              <w:spacing w:line="560" w:lineRule="exact"/>
              <w:jc w:val="center"/>
              <w:textAlignment w:val="auto"/>
              <w:rPr>
                <w:rFonts w:ascii="宋体" w:hAnsi="宋体"/>
                <w:sz w:val="24"/>
                <w:highlight w:val="none"/>
              </w:rPr>
            </w:pPr>
            <w:r>
              <w:rPr>
                <w:rFonts w:ascii="宋体" w:hAnsi="宋体"/>
                <w:sz w:val="24"/>
                <w:highlight w:val="none"/>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679" w:type="dxa"/>
            <w:vMerge w:val="continue"/>
            <w:tcBorders>
              <w:left w:val="single" w:color="auto" w:sz="4" w:space="0"/>
            </w:tcBorders>
            <w:noWrap w:val="0"/>
            <w:vAlign w:val="center"/>
          </w:tcPr>
          <w:p>
            <w:pPr>
              <w:pageBreakBefore w:val="0"/>
              <w:kinsoku/>
              <w:wordWrap/>
              <w:overflowPunct/>
              <w:topLinePunct w:val="0"/>
              <w:autoSpaceDE/>
              <w:autoSpaceDN/>
              <w:bidi w:val="0"/>
              <w:spacing w:line="560" w:lineRule="exact"/>
              <w:jc w:val="center"/>
              <w:textAlignment w:val="auto"/>
              <w:rPr>
                <w:rFonts w:hint="eastAsia" w:ascii="宋体" w:hAnsi="宋体"/>
                <w:sz w:val="24"/>
                <w:highlight w:val="none"/>
              </w:rPr>
            </w:pPr>
          </w:p>
        </w:tc>
        <w:tc>
          <w:tcPr>
            <w:tcW w:w="633" w:type="dxa"/>
            <w:vMerge w:val="continue"/>
            <w:noWrap w:val="0"/>
            <w:vAlign w:val="center"/>
          </w:tcPr>
          <w:p>
            <w:pPr>
              <w:pageBreakBefore w:val="0"/>
              <w:kinsoku/>
              <w:wordWrap/>
              <w:overflowPunct/>
              <w:topLinePunct w:val="0"/>
              <w:autoSpaceDE/>
              <w:autoSpaceDN/>
              <w:bidi w:val="0"/>
              <w:spacing w:line="560" w:lineRule="exact"/>
              <w:jc w:val="center"/>
              <w:textAlignment w:val="auto"/>
              <w:rPr>
                <w:rFonts w:ascii="宋体" w:hAnsi="宋体"/>
                <w:sz w:val="24"/>
                <w:highlight w:val="none"/>
              </w:rPr>
            </w:pPr>
          </w:p>
        </w:tc>
        <w:tc>
          <w:tcPr>
            <w:tcW w:w="5753" w:type="dxa"/>
            <w:vMerge w:val="restart"/>
            <w:noWrap w:val="0"/>
            <w:vAlign w:val="center"/>
          </w:tcPr>
          <w:p>
            <w:pPr>
              <w:pageBreakBefore w:val="0"/>
              <w:kinsoku/>
              <w:wordWrap/>
              <w:overflowPunct/>
              <w:topLinePunct w:val="0"/>
              <w:autoSpaceDE/>
              <w:autoSpaceDN/>
              <w:bidi w:val="0"/>
              <w:spacing w:line="560" w:lineRule="exact"/>
              <w:jc w:val="center"/>
              <w:textAlignment w:val="auto"/>
              <w:rPr>
                <w:rFonts w:hint="eastAsia" w:ascii="宋体" w:hAnsi="宋体"/>
                <w:sz w:val="24"/>
                <w:highlight w:val="none"/>
              </w:rPr>
            </w:pPr>
            <w:r>
              <w:rPr>
                <w:rFonts w:hint="eastAsia" w:ascii="宋体" w:hAnsi="宋体"/>
                <w:sz w:val="24"/>
                <w:highlight w:val="none"/>
              </w:rPr>
              <w:t>“啄木鸟杯”中国文艺评论奖</w:t>
            </w:r>
          </w:p>
        </w:tc>
        <w:tc>
          <w:tcPr>
            <w:tcW w:w="1304" w:type="dxa"/>
            <w:noWrap w:val="0"/>
            <w:vAlign w:val="center"/>
          </w:tcPr>
          <w:p>
            <w:pPr>
              <w:pageBreakBefore w:val="0"/>
              <w:kinsoku/>
              <w:wordWrap/>
              <w:overflowPunct/>
              <w:topLinePunct w:val="0"/>
              <w:autoSpaceDE/>
              <w:autoSpaceDN/>
              <w:bidi w:val="0"/>
              <w:spacing w:line="560" w:lineRule="exact"/>
              <w:jc w:val="center"/>
              <w:textAlignment w:val="auto"/>
              <w:rPr>
                <w:rFonts w:ascii="Algerian" w:hAnsi="Algerian"/>
                <w:sz w:val="24"/>
                <w:highlight w:val="none"/>
                <w:shd w:val="clear" w:color="auto" w:fill="FFFFFF"/>
              </w:rPr>
            </w:pPr>
            <w:r>
              <w:rPr>
                <w:rFonts w:hint="eastAsia" w:ascii="宋体" w:hAnsi="宋体"/>
                <w:sz w:val="24"/>
                <w:highlight w:val="none"/>
              </w:rPr>
              <w:t>著作类</w:t>
            </w:r>
          </w:p>
        </w:tc>
        <w:tc>
          <w:tcPr>
            <w:tcW w:w="598" w:type="dxa"/>
            <w:tcBorders>
              <w:right w:val="single" w:color="auto" w:sz="4" w:space="0"/>
            </w:tcBorders>
            <w:noWrap w:val="0"/>
            <w:vAlign w:val="center"/>
          </w:tcPr>
          <w:p>
            <w:pPr>
              <w:pageBreakBefore w:val="0"/>
              <w:kinsoku/>
              <w:wordWrap/>
              <w:overflowPunct/>
              <w:topLinePunct w:val="0"/>
              <w:autoSpaceDE/>
              <w:autoSpaceDN/>
              <w:bidi w:val="0"/>
              <w:spacing w:line="560" w:lineRule="exact"/>
              <w:jc w:val="center"/>
              <w:textAlignment w:val="auto"/>
              <w:rPr>
                <w:rFonts w:ascii="宋体" w:hAnsi="宋体"/>
                <w:sz w:val="24"/>
                <w:highlight w:val="none"/>
              </w:rPr>
            </w:pPr>
            <w:r>
              <w:rPr>
                <w:rFonts w:ascii="宋体" w:hAnsi="宋体"/>
                <w:sz w:val="24"/>
                <w:highlight w:val="none"/>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679" w:type="dxa"/>
            <w:vMerge w:val="continue"/>
            <w:tcBorders>
              <w:left w:val="single" w:color="auto" w:sz="4" w:space="0"/>
              <w:bottom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hint="eastAsia" w:ascii="宋体" w:hAnsi="宋体"/>
                <w:sz w:val="24"/>
                <w:highlight w:val="none"/>
              </w:rPr>
            </w:pPr>
          </w:p>
        </w:tc>
        <w:tc>
          <w:tcPr>
            <w:tcW w:w="633" w:type="dxa"/>
            <w:vMerge w:val="continue"/>
            <w:tcBorders>
              <w:bottom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hint="eastAsia" w:ascii="宋体" w:hAnsi="宋体"/>
                <w:sz w:val="24"/>
                <w:highlight w:val="none"/>
              </w:rPr>
            </w:pPr>
          </w:p>
        </w:tc>
        <w:tc>
          <w:tcPr>
            <w:tcW w:w="5753" w:type="dxa"/>
            <w:vMerge w:val="continue"/>
            <w:tcBorders>
              <w:bottom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hint="eastAsia" w:ascii="宋体" w:hAnsi="宋体"/>
                <w:sz w:val="24"/>
                <w:highlight w:val="none"/>
              </w:rPr>
            </w:pPr>
          </w:p>
        </w:tc>
        <w:tc>
          <w:tcPr>
            <w:tcW w:w="1304" w:type="dxa"/>
            <w:tcBorders>
              <w:bottom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hint="eastAsia" w:ascii="宋体" w:hAnsi="宋体"/>
                <w:sz w:val="24"/>
                <w:highlight w:val="none"/>
              </w:rPr>
            </w:pPr>
            <w:r>
              <w:rPr>
                <w:rFonts w:hint="eastAsia" w:ascii="宋体" w:hAnsi="宋体"/>
                <w:sz w:val="24"/>
                <w:highlight w:val="none"/>
              </w:rPr>
              <w:t>文章类</w:t>
            </w:r>
          </w:p>
        </w:tc>
        <w:tc>
          <w:tcPr>
            <w:tcW w:w="598" w:type="dxa"/>
            <w:tcBorders>
              <w:bottom w:val="single" w:color="auto" w:sz="12" w:space="0"/>
              <w:right w:val="single" w:color="auto" w:sz="4" w:space="0"/>
            </w:tcBorders>
            <w:noWrap w:val="0"/>
            <w:vAlign w:val="center"/>
          </w:tcPr>
          <w:p>
            <w:pPr>
              <w:pageBreakBefore w:val="0"/>
              <w:kinsoku/>
              <w:wordWrap/>
              <w:overflowPunct/>
              <w:topLinePunct w:val="0"/>
              <w:autoSpaceDE/>
              <w:autoSpaceDN/>
              <w:bidi w:val="0"/>
              <w:spacing w:line="560" w:lineRule="exact"/>
              <w:jc w:val="center"/>
              <w:textAlignment w:val="auto"/>
              <w:rPr>
                <w:rFonts w:ascii="宋体" w:hAnsi="宋体"/>
                <w:sz w:val="24"/>
                <w:highlight w:val="none"/>
              </w:rPr>
            </w:pPr>
            <w:r>
              <w:rPr>
                <w:rFonts w:ascii="宋体" w:hAnsi="宋体"/>
                <w:sz w:val="24"/>
                <w:highlight w:val="none"/>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679" w:type="dxa"/>
            <w:vMerge w:val="restart"/>
            <w:tcBorders>
              <w:top w:val="single" w:color="auto" w:sz="12" w:space="0"/>
              <w:left w:val="single" w:color="auto" w:sz="4" w:space="0"/>
            </w:tcBorders>
            <w:noWrap w:val="0"/>
            <w:vAlign w:val="center"/>
          </w:tcPr>
          <w:p>
            <w:pPr>
              <w:pageBreakBefore w:val="0"/>
              <w:kinsoku/>
              <w:wordWrap/>
              <w:overflowPunct/>
              <w:topLinePunct w:val="0"/>
              <w:autoSpaceDE/>
              <w:autoSpaceDN/>
              <w:bidi w:val="0"/>
              <w:spacing w:line="560" w:lineRule="exact"/>
              <w:jc w:val="center"/>
              <w:textAlignment w:val="auto"/>
              <w:rPr>
                <w:rFonts w:ascii="宋体" w:hAnsi="宋体"/>
                <w:b/>
                <w:sz w:val="24"/>
                <w:highlight w:val="none"/>
              </w:rPr>
            </w:pPr>
            <w:r>
              <w:rPr>
                <w:rFonts w:hint="eastAsia" w:ascii="宋体" w:hAnsi="宋体"/>
                <w:b/>
                <w:sz w:val="24"/>
                <w:highlight w:val="none"/>
              </w:rPr>
              <w:t>B级</w:t>
            </w:r>
          </w:p>
        </w:tc>
        <w:tc>
          <w:tcPr>
            <w:tcW w:w="633" w:type="dxa"/>
            <w:vMerge w:val="restart"/>
            <w:tcBorders>
              <w:top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hint="eastAsia" w:ascii="宋体" w:hAnsi="宋体"/>
                <w:sz w:val="24"/>
                <w:highlight w:val="none"/>
              </w:rPr>
            </w:pPr>
            <w:r>
              <w:rPr>
                <w:rFonts w:hint="eastAsia" w:ascii="宋体" w:hAnsi="宋体"/>
                <w:sz w:val="24"/>
                <w:highlight w:val="none"/>
              </w:rPr>
              <w:t>B+</w:t>
            </w:r>
          </w:p>
        </w:tc>
        <w:tc>
          <w:tcPr>
            <w:tcW w:w="5753" w:type="dxa"/>
            <w:tcBorders>
              <w:top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ascii="宋体" w:hAnsi="宋体"/>
                <w:sz w:val="24"/>
                <w:highlight w:val="none"/>
              </w:rPr>
            </w:pPr>
            <w:r>
              <w:rPr>
                <w:rFonts w:hint="eastAsia" w:ascii="宋体" w:hAnsi="宋体"/>
                <w:sz w:val="24"/>
                <w:highlight w:val="none"/>
              </w:rPr>
              <w:t>教育部高等学校科学研究优秀成果奖（人文社会科学）</w:t>
            </w:r>
          </w:p>
        </w:tc>
        <w:tc>
          <w:tcPr>
            <w:tcW w:w="1304" w:type="dxa"/>
            <w:vMerge w:val="restart"/>
            <w:tcBorders>
              <w:top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ascii="宋体" w:hAnsi="宋体"/>
                <w:sz w:val="24"/>
                <w:highlight w:val="none"/>
              </w:rPr>
            </w:pPr>
            <w:r>
              <w:rPr>
                <w:rFonts w:hint="eastAsia" w:ascii="宋体" w:hAnsi="宋体"/>
                <w:sz w:val="24"/>
                <w:highlight w:val="none"/>
              </w:rPr>
              <w:t>三等奖</w:t>
            </w:r>
          </w:p>
        </w:tc>
        <w:tc>
          <w:tcPr>
            <w:tcW w:w="598" w:type="dxa"/>
            <w:tcBorders>
              <w:top w:val="single" w:color="auto" w:sz="12" w:space="0"/>
              <w:right w:val="single" w:color="auto" w:sz="4" w:space="0"/>
            </w:tcBorders>
            <w:noWrap w:val="0"/>
            <w:vAlign w:val="center"/>
          </w:tcPr>
          <w:p>
            <w:pPr>
              <w:pageBreakBefore w:val="0"/>
              <w:kinsoku/>
              <w:wordWrap/>
              <w:overflowPunct/>
              <w:topLinePunct w:val="0"/>
              <w:autoSpaceDE/>
              <w:autoSpaceDN/>
              <w:bidi w:val="0"/>
              <w:spacing w:line="560" w:lineRule="exact"/>
              <w:jc w:val="center"/>
              <w:textAlignment w:val="auto"/>
              <w:rPr>
                <w:rFonts w:ascii="宋体" w:hAnsi="宋体"/>
                <w:sz w:val="24"/>
                <w:highlight w:val="none"/>
              </w:rPr>
            </w:pPr>
            <w:r>
              <w:rPr>
                <w:rFonts w:ascii="宋体" w:hAnsi="宋体"/>
                <w:sz w:val="24"/>
                <w:highlight w:val="none"/>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679" w:type="dxa"/>
            <w:vMerge w:val="continue"/>
            <w:tcBorders>
              <w:left w:val="single" w:color="auto" w:sz="4" w:space="0"/>
            </w:tcBorders>
            <w:noWrap w:val="0"/>
            <w:vAlign w:val="center"/>
          </w:tcPr>
          <w:p>
            <w:pPr>
              <w:pageBreakBefore w:val="0"/>
              <w:kinsoku/>
              <w:wordWrap/>
              <w:overflowPunct/>
              <w:topLinePunct w:val="0"/>
              <w:autoSpaceDE/>
              <w:autoSpaceDN/>
              <w:bidi w:val="0"/>
              <w:spacing w:line="560" w:lineRule="exact"/>
              <w:jc w:val="center"/>
              <w:textAlignment w:val="auto"/>
              <w:rPr>
                <w:rFonts w:hint="eastAsia" w:ascii="宋体" w:hAnsi="宋体"/>
                <w:sz w:val="24"/>
                <w:highlight w:val="none"/>
              </w:rPr>
            </w:pPr>
          </w:p>
        </w:tc>
        <w:tc>
          <w:tcPr>
            <w:tcW w:w="633" w:type="dxa"/>
            <w:vMerge w:val="continue"/>
            <w:tcBorders>
              <w:bottom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ascii="宋体" w:hAnsi="宋体"/>
                <w:sz w:val="24"/>
                <w:highlight w:val="none"/>
              </w:rPr>
            </w:pPr>
          </w:p>
        </w:tc>
        <w:tc>
          <w:tcPr>
            <w:tcW w:w="5753" w:type="dxa"/>
            <w:tcBorders>
              <w:bottom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ascii="宋体" w:hAnsi="宋体"/>
                <w:sz w:val="24"/>
                <w:highlight w:val="none"/>
              </w:rPr>
            </w:pPr>
            <w:r>
              <w:rPr>
                <w:rFonts w:hint="eastAsia" w:ascii="宋体" w:hAnsi="宋体"/>
                <w:sz w:val="24"/>
                <w:highlight w:val="none"/>
              </w:rPr>
              <w:t>全国教育科学研究优秀成果奖</w:t>
            </w:r>
          </w:p>
        </w:tc>
        <w:tc>
          <w:tcPr>
            <w:tcW w:w="1304" w:type="dxa"/>
            <w:vMerge w:val="continue"/>
            <w:tcBorders>
              <w:bottom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ascii="宋体" w:hAnsi="宋体"/>
                <w:sz w:val="24"/>
                <w:highlight w:val="none"/>
              </w:rPr>
            </w:pPr>
          </w:p>
        </w:tc>
        <w:tc>
          <w:tcPr>
            <w:tcW w:w="598" w:type="dxa"/>
            <w:tcBorders>
              <w:bottom w:val="single" w:color="auto" w:sz="12" w:space="0"/>
              <w:right w:val="single" w:color="auto" w:sz="4" w:space="0"/>
            </w:tcBorders>
            <w:noWrap w:val="0"/>
            <w:vAlign w:val="center"/>
          </w:tcPr>
          <w:p>
            <w:pPr>
              <w:pageBreakBefore w:val="0"/>
              <w:kinsoku/>
              <w:wordWrap/>
              <w:overflowPunct/>
              <w:topLinePunct w:val="0"/>
              <w:autoSpaceDE/>
              <w:autoSpaceDN/>
              <w:bidi w:val="0"/>
              <w:spacing w:line="560" w:lineRule="exact"/>
              <w:jc w:val="center"/>
              <w:textAlignment w:val="auto"/>
              <w:rPr>
                <w:rFonts w:ascii="宋体" w:hAnsi="宋体"/>
                <w:sz w:val="24"/>
                <w:highlight w:val="none"/>
              </w:rPr>
            </w:pPr>
            <w:r>
              <w:rPr>
                <w:rFonts w:hint="eastAsia" w:ascii="宋体" w:hAnsi="宋体"/>
                <w:sz w:val="24"/>
                <w:highlight w:val="none"/>
              </w:rPr>
              <w:t>1</w:t>
            </w:r>
            <w:r>
              <w:rPr>
                <w:rFonts w:ascii="宋体" w:hAnsi="宋体"/>
                <w:sz w:val="24"/>
                <w:highlight w:val="none"/>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679" w:type="dxa"/>
            <w:vMerge w:val="continue"/>
            <w:tcBorders>
              <w:left w:val="single" w:color="auto" w:sz="4" w:space="0"/>
            </w:tcBorders>
            <w:noWrap w:val="0"/>
            <w:vAlign w:val="center"/>
          </w:tcPr>
          <w:p>
            <w:pPr>
              <w:pageBreakBefore w:val="0"/>
              <w:kinsoku/>
              <w:wordWrap/>
              <w:overflowPunct/>
              <w:topLinePunct w:val="0"/>
              <w:autoSpaceDE/>
              <w:autoSpaceDN/>
              <w:bidi w:val="0"/>
              <w:spacing w:line="560" w:lineRule="exact"/>
              <w:jc w:val="center"/>
              <w:textAlignment w:val="auto"/>
              <w:rPr>
                <w:rFonts w:hint="eastAsia" w:ascii="宋体" w:hAnsi="宋体"/>
                <w:sz w:val="24"/>
                <w:highlight w:val="none"/>
              </w:rPr>
            </w:pPr>
          </w:p>
        </w:tc>
        <w:tc>
          <w:tcPr>
            <w:tcW w:w="633" w:type="dxa"/>
            <w:vMerge w:val="restart"/>
            <w:tcBorders>
              <w:top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ascii="宋体" w:hAnsi="宋体"/>
                <w:sz w:val="24"/>
                <w:highlight w:val="none"/>
              </w:rPr>
            </w:pPr>
            <w:r>
              <w:rPr>
                <w:rFonts w:hint="eastAsia" w:ascii="宋体" w:hAnsi="宋体"/>
                <w:sz w:val="24"/>
                <w:highlight w:val="none"/>
              </w:rPr>
              <w:t>B</w:t>
            </w:r>
          </w:p>
        </w:tc>
        <w:tc>
          <w:tcPr>
            <w:tcW w:w="5753" w:type="dxa"/>
            <w:vMerge w:val="restart"/>
            <w:noWrap w:val="0"/>
            <w:vAlign w:val="center"/>
          </w:tcPr>
          <w:p>
            <w:pPr>
              <w:pageBreakBefore w:val="0"/>
              <w:kinsoku/>
              <w:wordWrap/>
              <w:overflowPunct/>
              <w:topLinePunct w:val="0"/>
              <w:autoSpaceDE/>
              <w:autoSpaceDN/>
              <w:bidi w:val="0"/>
              <w:spacing w:line="560" w:lineRule="exact"/>
              <w:jc w:val="center"/>
              <w:textAlignment w:val="auto"/>
              <w:rPr>
                <w:rFonts w:ascii="宋体" w:hAnsi="宋体"/>
                <w:sz w:val="24"/>
                <w:highlight w:val="none"/>
              </w:rPr>
            </w:pPr>
            <w:r>
              <w:rPr>
                <w:rFonts w:hint="eastAsia" w:ascii="宋体" w:hAnsi="宋体"/>
                <w:sz w:val="24"/>
                <w:highlight w:val="none"/>
              </w:rPr>
              <w:t>内蒙古自治区艺术创作“萨日纳”奖</w:t>
            </w:r>
          </w:p>
          <w:p>
            <w:pPr>
              <w:pageBreakBefore w:val="0"/>
              <w:kinsoku/>
              <w:wordWrap/>
              <w:overflowPunct/>
              <w:topLinePunct w:val="0"/>
              <w:autoSpaceDE/>
              <w:autoSpaceDN/>
              <w:bidi w:val="0"/>
              <w:spacing w:line="560" w:lineRule="exact"/>
              <w:jc w:val="center"/>
              <w:textAlignment w:val="auto"/>
              <w:rPr>
                <w:rFonts w:hint="eastAsia" w:ascii="宋体" w:hAnsi="宋体"/>
                <w:sz w:val="24"/>
                <w:highlight w:val="none"/>
              </w:rPr>
            </w:pPr>
            <w:r>
              <w:rPr>
                <w:rFonts w:hint="eastAsia" w:ascii="宋体" w:hAnsi="宋体"/>
                <w:sz w:val="24"/>
                <w:highlight w:val="none"/>
              </w:rPr>
              <w:t>内蒙古自治区文学创作“索龙嘎”奖</w:t>
            </w:r>
          </w:p>
          <w:p>
            <w:pPr>
              <w:pageBreakBefore w:val="0"/>
              <w:kinsoku/>
              <w:wordWrap/>
              <w:overflowPunct/>
              <w:topLinePunct w:val="0"/>
              <w:autoSpaceDE/>
              <w:autoSpaceDN/>
              <w:bidi w:val="0"/>
              <w:spacing w:line="560" w:lineRule="exact"/>
              <w:jc w:val="center"/>
              <w:textAlignment w:val="auto"/>
              <w:rPr>
                <w:rFonts w:hint="eastAsia" w:ascii="宋体" w:hAnsi="宋体"/>
                <w:sz w:val="24"/>
                <w:highlight w:val="none"/>
              </w:rPr>
            </w:pPr>
            <w:r>
              <w:rPr>
                <w:rFonts w:ascii="宋体" w:hAnsi="宋体"/>
                <w:sz w:val="24"/>
                <w:highlight w:val="none"/>
              </w:rPr>
              <w:t>内蒙古自治区精神文明建设 “五个一工程”奖</w:t>
            </w:r>
          </w:p>
        </w:tc>
        <w:tc>
          <w:tcPr>
            <w:tcW w:w="1304" w:type="dxa"/>
            <w:noWrap w:val="0"/>
            <w:vAlign w:val="center"/>
          </w:tcPr>
          <w:p>
            <w:pPr>
              <w:pageBreakBefore w:val="0"/>
              <w:kinsoku/>
              <w:wordWrap/>
              <w:overflowPunct/>
              <w:topLinePunct w:val="0"/>
              <w:autoSpaceDE/>
              <w:autoSpaceDN/>
              <w:bidi w:val="0"/>
              <w:spacing w:line="560" w:lineRule="exact"/>
              <w:jc w:val="center"/>
              <w:textAlignment w:val="auto"/>
              <w:rPr>
                <w:rFonts w:ascii="宋体" w:hAnsi="宋体"/>
                <w:sz w:val="24"/>
                <w:highlight w:val="none"/>
              </w:rPr>
            </w:pPr>
            <w:r>
              <w:rPr>
                <w:rFonts w:ascii="Algerian" w:hAnsi="Algerian"/>
                <w:sz w:val="24"/>
                <w:highlight w:val="none"/>
                <w:shd w:val="clear" w:color="auto" w:fill="FFFFFF"/>
              </w:rPr>
              <w:t>著作</w:t>
            </w:r>
            <w:r>
              <w:rPr>
                <w:rFonts w:hint="eastAsia" w:ascii="Algerian" w:hAnsi="Algerian"/>
                <w:sz w:val="24"/>
                <w:highlight w:val="none"/>
                <w:shd w:val="clear" w:color="auto" w:fill="FFFFFF"/>
              </w:rPr>
              <w:t>类</w:t>
            </w:r>
          </w:p>
        </w:tc>
        <w:tc>
          <w:tcPr>
            <w:tcW w:w="598" w:type="dxa"/>
            <w:tcBorders>
              <w:right w:val="single" w:color="auto" w:sz="4" w:space="0"/>
            </w:tcBorders>
            <w:noWrap w:val="0"/>
            <w:vAlign w:val="center"/>
          </w:tcPr>
          <w:p>
            <w:pPr>
              <w:pageBreakBefore w:val="0"/>
              <w:kinsoku/>
              <w:wordWrap/>
              <w:overflowPunct/>
              <w:topLinePunct w:val="0"/>
              <w:autoSpaceDE/>
              <w:autoSpaceDN/>
              <w:bidi w:val="0"/>
              <w:spacing w:line="560" w:lineRule="exact"/>
              <w:jc w:val="center"/>
              <w:textAlignment w:val="auto"/>
              <w:rPr>
                <w:rFonts w:ascii="宋体" w:hAnsi="宋体"/>
                <w:sz w:val="24"/>
                <w:highlight w:val="none"/>
              </w:rPr>
            </w:pPr>
            <w:r>
              <w:rPr>
                <w:rFonts w:ascii="宋体" w:hAnsi="宋体"/>
                <w:sz w:val="24"/>
                <w:highlight w:val="none"/>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679" w:type="dxa"/>
            <w:vMerge w:val="continue"/>
            <w:tcBorders>
              <w:left w:val="single" w:color="auto" w:sz="4" w:space="0"/>
            </w:tcBorders>
            <w:noWrap w:val="0"/>
            <w:vAlign w:val="center"/>
          </w:tcPr>
          <w:p>
            <w:pPr>
              <w:pageBreakBefore w:val="0"/>
              <w:kinsoku/>
              <w:wordWrap/>
              <w:overflowPunct/>
              <w:topLinePunct w:val="0"/>
              <w:autoSpaceDE/>
              <w:autoSpaceDN/>
              <w:bidi w:val="0"/>
              <w:spacing w:line="560" w:lineRule="exact"/>
              <w:jc w:val="center"/>
              <w:textAlignment w:val="auto"/>
              <w:rPr>
                <w:rFonts w:hint="eastAsia" w:ascii="宋体" w:hAnsi="宋体"/>
                <w:sz w:val="24"/>
                <w:highlight w:val="none"/>
              </w:rPr>
            </w:pPr>
          </w:p>
        </w:tc>
        <w:tc>
          <w:tcPr>
            <w:tcW w:w="633" w:type="dxa"/>
            <w:vMerge w:val="continue"/>
            <w:noWrap w:val="0"/>
            <w:vAlign w:val="center"/>
          </w:tcPr>
          <w:p>
            <w:pPr>
              <w:pageBreakBefore w:val="0"/>
              <w:kinsoku/>
              <w:wordWrap/>
              <w:overflowPunct/>
              <w:topLinePunct w:val="0"/>
              <w:autoSpaceDE/>
              <w:autoSpaceDN/>
              <w:bidi w:val="0"/>
              <w:spacing w:line="560" w:lineRule="exact"/>
              <w:jc w:val="center"/>
              <w:textAlignment w:val="auto"/>
              <w:rPr>
                <w:rFonts w:ascii="宋体" w:hAnsi="宋体"/>
                <w:b/>
                <w:sz w:val="24"/>
                <w:highlight w:val="none"/>
              </w:rPr>
            </w:pPr>
          </w:p>
        </w:tc>
        <w:tc>
          <w:tcPr>
            <w:tcW w:w="5753" w:type="dxa"/>
            <w:vMerge w:val="continue"/>
            <w:tcBorders>
              <w:bottom w:val="single" w:color="auto" w:sz="4" w:space="0"/>
            </w:tcBorders>
            <w:noWrap w:val="0"/>
            <w:vAlign w:val="center"/>
          </w:tcPr>
          <w:p>
            <w:pPr>
              <w:pageBreakBefore w:val="0"/>
              <w:kinsoku/>
              <w:wordWrap/>
              <w:overflowPunct/>
              <w:topLinePunct w:val="0"/>
              <w:autoSpaceDE/>
              <w:autoSpaceDN/>
              <w:bidi w:val="0"/>
              <w:spacing w:line="560" w:lineRule="exact"/>
              <w:jc w:val="center"/>
              <w:textAlignment w:val="auto"/>
              <w:rPr>
                <w:rFonts w:hint="eastAsia" w:ascii="宋体" w:hAnsi="宋体"/>
                <w:sz w:val="24"/>
                <w:highlight w:val="none"/>
              </w:rPr>
            </w:pPr>
          </w:p>
        </w:tc>
        <w:tc>
          <w:tcPr>
            <w:tcW w:w="1304" w:type="dxa"/>
            <w:tcBorders>
              <w:bottom w:val="single" w:color="auto" w:sz="4" w:space="0"/>
            </w:tcBorders>
            <w:noWrap w:val="0"/>
            <w:vAlign w:val="center"/>
          </w:tcPr>
          <w:p>
            <w:pPr>
              <w:pageBreakBefore w:val="0"/>
              <w:kinsoku/>
              <w:wordWrap/>
              <w:overflowPunct/>
              <w:topLinePunct w:val="0"/>
              <w:autoSpaceDE/>
              <w:autoSpaceDN/>
              <w:bidi w:val="0"/>
              <w:spacing w:line="560" w:lineRule="exact"/>
              <w:jc w:val="center"/>
              <w:textAlignment w:val="auto"/>
              <w:rPr>
                <w:rFonts w:hint="eastAsia" w:ascii="Algerian" w:hAnsi="Algerian"/>
                <w:sz w:val="24"/>
                <w:highlight w:val="none"/>
                <w:shd w:val="clear" w:color="auto" w:fill="FFFFFF"/>
              </w:rPr>
            </w:pPr>
            <w:r>
              <w:rPr>
                <w:rFonts w:hint="eastAsia" w:ascii="宋体" w:hAnsi="宋体"/>
                <w:sz w:val="24"/>
                <w:highlight w:val="none"/>
              </w:rPr>
              <w:t>文章</w:t>
            </w:r>
            <w:r>
              <w:rPr>
                <w:rFonts w:hint="eastAsia" w:ascii="Algerian" w:hAnsi="Algerian"/>
                <w:sz w:val="24"/>
                <w:highlight w:val="none"/>
                <w:shd w:val="clear" w:color="auto" w:fill="FFFFFF"/>
              </w:rPr>
              <w:t>类</w:t>
            </w:r>
          </w:p>
        </w:tc>
        <w:tc>
          <w:tcPr>
            <w:tcW w:w="598" w:type="dxa"/>
            <w:tcBorders>
              <w:bottom w:val="single" w:color="auto" w:sz="4" w:space="0"/>
              <w:right w:val="single" w:color="auto" w:sz="4" w:space="0"/>
            </w:tcBorders>
            <w:noWrap w:val="0"/>
            <w:vAlign w:val="center"/>
          </w:tcPr>
          <w:p>
            <w:pPr>
              <w:pageBreakBefore w:val="0"/>
              <w:kinsoku/>
              <w:wordWrap/>
              <w:overflowPunct/>
              <w:topLinePunct w:val="0"/>
              <w:autoSpaceDE/>
              <w:autoSpaceDN/>
              <w:bidi w:val="0"/>
              <w:spacing w:line="560" w:lineRule="exact"/>
              <w:jc w:val="center"/>
              <w:textAlignment w:val="auto"/>
              <w:rPr>
                <w:rFonts w:ascii="宋体" w:hAnsi="宋体"/>
                <w:sz w:val="24"/>
                <w:highlight w:val="none"/>
              </w:rPr>
            </w:pPr>
            <w:r>
              <w:rPr>
                <w:rFonts w:hint="eastAsia" w:ascii="宋体" w:hAnsi="宋体"/>
                <w:sz w:val="24"/>
                <w:highlight w:val="none"/>
              </w:rPr>
              <w:t>1</w:t>
            </w:r>
            <w:r>
              <w:rPr>
                <w:rFonts w:ascii="宋体" w:hAnsi="宋体"/>
                <w:sz w:val="24"/>
                <w:highlight w:val="none"/>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679" w:type="dxa"/>
            <w:vMerge w:val="continue"/>
            <w:tcBorders>
              <w:left w:val="single" w:color="auto" w:sz="4" w:space="0"/>
              <w:bottom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hint="eastAsia" w:ascii="宋体" w:hAnsi="宋体"/>
                <w:sz w:val="24"/>
                <w:highlight w:val="none"/>
              </w:rPr>
            </w:pPr>
          </w:p>
        </w:tc>
        <w:tc>
          <w:tcPr>
            <w:tcW w:w="633" w:type="dxa"/>
            <w:vMerge w:val="continue"/>
            <w:tcBorders>
              <w:bottom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hint="eastAsia" w:ascii="宋体" w:hAnsi="宋体"/>
                <w:sz w:val="24"/>
                <w:highlight w:val="none"/>
              </w:rPr>
            </w:pPr>
          </w:p>
        </w:tc>
        <w:tc>
          <w:tcPr>
            <w:tcW w:w="5753" w:type="dxa"/>
            <w:tcBorders>
              <w:top w:val="single" w:color="auto" w:sz="4" w:space="0"/>
              <w:bottom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ascii="宋体" w:hAnsi="宋体"/>
                <w:sz w:val="24"/>
                <w:highlight w:val="none"/>
              </w:rPr>
            </w:pPr>
            <w:r>
              <w:rPr>
                <w:rFonts w:hint="eastAsia" w:ascii="宋体" w:hAnsi="宋体"/>
                <w:sz w:val="24"/>
                <w:highlight w:val="none"/>
              </w:rPr>
              <w:t>内蒙古自治区“哲学社会科学奖”</w:t>
            </w:r>
          </w:p>
        </w:tc>
        <w:tc>
          <w:tcPr>
            <w:tcW w:w="1304" w:type="dxa"/>
            <w:tcBorders>
              <w:top w:val="single" w:color="auto" w:sz="4" w:space="0"/>
              <w:bottom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ascii="宋体" w:hAnsi="宋体"/>
                <w:sz w:val="24"/>
                <w:highlight w:val="none"/>
              </w:rPr>
            </w:pPr>
            <w:r>
              <w:rPr>
                <w:rFonts w:hint="eastAsia" w:ascii="宋体" w:hAnsi="宋体"/>
                <w:sz w:val="24"/>
                <w:highlight w:val="none"/>
              </w:rPr>
              <w:t>二等奖</w:t>
            </w:r>
          </w:p>
        </w:tc>
        <w:tc>
          <w:tcPr>
            <w:tcW w:w="598" w:type="dxa"/>
            <w:tcBorders>
              <w:top w:val="single" w:color="auto" w:sz="4" w:space="0"/>
              <w:bottom w:val="single" w:color="auto" w:sz="12" w:space="0"/>
              <w:right w:val="single" w:color="auto" w:sz="4" w:space="0"/>
            </w:tcBorders>
            <w:noWrap w:val="0"/>
            <w:vAlign w:val="center"/>
          </w:tcPr>
          <w:p>
            <w:pPr>
              <w:pageBreakBefore w:val="0"/>
              <w:kinsoku/>
              <w:wordWrap/>
              <w:overflowPunct/>
              <w:topLinePunct w:val="0"/>
              <w:autoSpaceDE/>
              <w:autoSpaceDN/>
              <w:bidi w:val="0"/>
              <w:spacing w:line="560" w:lineRule="exact"/>
              <w:jc w:val="center"/>
              <w:textAlignment w:val="auto"/>
              <w:rPr>
                <w:rFonts w:ascii="宋体" w:hAnsi="宋体"/>
                <w:sz w:val="24"/>
                <w:highlight w:val="none"/>
              </w:rPr>
            </w:pPr>
            <w:r>
              <w:rPr>
                <w:rFonts w:ascii="宋体" w:hAnsi="宋体"/>
                <w:sz w:val="24"/>
                <w:highlight w:val="none"/>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679" w:type="dxa"/>
            <w:vMerge w:val="continue"/>
            <w:tcBorders>
              <w:left w:val="single" w:color="auto" w:sz="4" w:space="0"/>
              <w:bottom w:val="single" w:color="auto" w:sz="4" w:space="0"/>
            </w:tcBorders>
            <w:noWrap w:val="0"/>
            <w:vAlign w:val="center"/>
          </w:tcPr>
          <w:p>
            <w:pPr>
              <w:pageBreakBefore w:val="0"/>
              <w:kinsoku/>
              <w:wordWrap/>
              <w:overflowPunct/>
              <w:topLinePunct w:val="0"/>
              <w:autoSpaceDE/>
              <w:autoSpaceDN/>
              <w:bidi w:val="0"/>
              <w:spacing w:line="560" w:lineRule="exact"/>
              <w:jc w:val="center"/>
              <w:textAlignment w:val="auto"/>
              <w:rPr>
                <w:rFonts w:hint="eastAsia" w:ascii="宋体" w:hAnsi="宋体"/>
                <w:sz w:val="24"/>
                <w:highlight w:val="none"/>
              </w:rPr>
            </w:pPr>
          </w:p>
        </w:tc>
        <w:tc>
          <w:tcPr>
            <w:tcW w:w="633" w:type="dxa"/>
            <w:tcBorders>
              <w:top w:val="single" w:color="auto" w:sz="12" w:space="0"/>
              <w:bottom w:val="single" w:color="auto" w:sz="4" w:space="0"/>
            </w:tcBorders>
            <w:noWrap w:val="0"/>
            <w:vAlign w:val="center"/>
          </w:tcPr>
          <w:p>
            <w:pPr>
              <w:pageBreakBefore w:val="0"/>
              <w:kinsoku/>
              <w:wordWrap/>
              <w:overflowPunct/>
              <w:topLinePunct w:val="0"/>
              <w:autoSpaceDE/>
              <w:autoSpaceDN/>
              <w:bidi w:val="0"/>
              <w:spacing w:line="560" w:lineRule="exact"/>
              <w:jc w:val="center"/>
              <w:textAlignment w:val="auto"/>
              <w:rPr>
                <w:rFonts w:ascii="宋体" w:hAnsi="宋体"/>
                <w:sz w:val="24"/>
                <w:highlight w:val="none"/>
              </w:rPr>
            </w:pPr>
            <w:r>
              <w:rPr>
                <w:rFonts w:hint="eastAsia" w:ascii="宋体" w:hAnsi="宋体"/>
                <w:sz w:val="24"/>
                <w:highlight w:val="none"/>
              </w:rPr>
              <w:t>B-</w:t>
            </w:r>
          </w:p>
        </w:tc>
        <w:tc>
          <w:tcPr>
            <w:tcW w:w="5753" w:type="dxa"/>
            <w:tcBorders>
              <w:top w:val="single" w:color="auto" w:sz="12" w:space="0"/>
              <w:bottom w:val="single" w:color="auto" w:sz="4" w:space="0"/>
            </w:tcBorders>
            <w:noWrap w:val="0"/>
            <w:vAlign w:val="center"/>
          </w:tcPr>
          <w:p>
            <w:pPr>
              <w:pageBreakBefore w:val="0"/>
              <w:kinsoku/>
              <w:wordWrap/>
              <w:overflowPunct/>
              <w:topLinePunct w:val="0"/>
              <w:autoSpaceDE/>
              <w:autoSpaceDN/>
              <w:bidi w:val="0"/>
              <w:spacing w:line="560" w:lineRule="exact"/>
              <w:jc w:val="center"/>
              <w:textAlignment w:val="auto"/>
              <w:rPr>
                <w:rFonts w:ascii="宋体" w:hAnsi="宋体"/>
                <w:sz w:val="24"/>
                <w:highlight w:val="none"/>
              </w:rPr>
            </w:pPr>
            <w:r>
              <w:rPr>
                <w:rFonts w:hint="eastAsia" w:ascii="宋体" w:hAnsi="宋体"/>
                <w:sz w:val="24"/>
                <w:highlight w:val="none"/>
              </w:rPr>
              <w:t>内蒙古自治区“哲学社会科学奖”</w:t>
            </w:r>
          </w:p>
        </w:tc>
        <w:tc>
          <w:tcPr>
            <w:tcW w:w="1304" w:type="dxa"/>
            <w:tcBorders>
              <w:top w:val="single" w:color="auto" w:sz="12" w:space="0"/>
              <w:bottom w:val="single" w:color="auto" w:sz="4" w:space="0"/>
            </w:tcBorders>
            <w:noWrap w:val="0"/>
            <w:vAlign w:val="center"/>
          </w:tcPr>
          <w:p>
            <w:pPr>
              <w:pageBreakBefore w:val="0"/>
              <w:kinsoku/>
              <w:wordWrap/>
              <w:overflowPunct/>
              <w:topLinePunct w:val="0"/>
              <w:autoSpaceDE/>
              <w:autoSpaceDN/>
              <w:bidi w:val="0"/>
              <w:spacing w:line="560" w:lineRule="exact"/>
              <w:jc w:val="center"/>
              <w:textAlignment w:val="auto"/>
              <w:rPr>
                <w:rFonts w:ascii="宋体" w:hAnsi="宋体"/>
                <w:sz w:val="24"/>
                <w:highlight w:val="none"/>
              </w:rPr>
            </w:pPr>
            <w:r>
              <w:rPr>
                <w:rFonts w:hint="eastAsia" w:ascii="宋体" w:hAnsi="宋体"/>
                <w:sz w:val="24"/>
                <w:highlight w:val="none"/>
              </w:rPr>
              <w:t>三等奖</w:t>
            </w:r>
          </w:p>
        </w:tc>
        <w:tc>
          <w:tcPr>
            <w:tcW w:w="598" w:type="dxa"/>
            <w:tcBorders>
              <w:top w:val="single" w:color="auto" w:sz="12" w:space="0"/>
              <w:bottom w:val="single" w:color="auto" w:sz="4" w:space="0"/>
              <w:right w:val="single" w:color="auto" w:sz="4" w:space="0"/>
            </w:tcBorders>
            <w:noWrap w:val="0"/>
            <w:vAlign w:val="center"/>
          </w:tcPr>
          <w:p>
            <w:pPr>
              <w:pageBreakBefore w:val="0"/>
              <w:kinsoku/>
              <w:wordWrap/>
              <w:overflowPunct/>
              <w:topLinePunct w:val="0"/>
              <w:autoSpaceDE/>
              <w:autoSpaceDN/>
              <w:bidi w:val="0"/>
              <w:spacing w:line="560" w:lineRule="exact"/>
              <w:jc w:val="center"/>
              <w:textAlignment w:val="auto"/>
              <w:rPr>
                <w:rFonts w:ascii="宋体" w:hAnsi="宋体"/>
                <w:sz w:val="24"/>
                <w:highlight w:val="none"/>
              </w:rPr>
            </w:pPr>
            <w:r>
              <w:rPr>
                <w:rFonts w:ascii="宋体" w:hAnsi="宋体"/>
                <w:sz w:val="24"/>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679" w:type="dxa"/>
            <w:vMerge w:val="restart"/>
            <w:tcBorders>
              <w:top w:val="single" w:color="auto" w:sz="12" w:space="0"/>
              <w:left w:val="single" w:color="auto" w:sz="4" w:space="0"/>
            </w:tcBorders>
            <w:noWrap w:val="0"/>
            <w:vAlign w:val="center"/>
          </w:tcPr>
          <w:p>
            <w:pPr>
              <w:pageBreakBefore w:val="0"/>
              <w:kinsoku/>
              <w:wordWrap/>
              <w:overflowPunct/>
              <w:topLinePunct w:val="0"/>
              <w:autoSpaceDE/>
              <w:autoSpaceDN/>
              <w:bidi w:val="0"/>
              <w:spacing w:line="560" w:lineRule="exact"/>
              <w:jc w:val="center"/>
              <w:textAlignment w:val="auto"/>
              <w:rPr>
                <w:rFonts w:hint="eastAsia" w:ascii="宋体" w:hAnsi="宋体"/>
                <w:b/>
                <w:sz w:val="24"/>
                <w:highlight w:val="none"/>
              </w:rPr>
            </w:pPr>
            <w:r>
              <w:rPr>
                <w:rFonts w:hint="eastAsia" w:ascii="宋体" w:hAnsi="宋体"/>
                <w:b/>
                <w:sz w:val="24"/>
                <w:highlight w:val="none"/>
              </w:rPr>
              <w:t>C级</w:t>
            </w:r>
          </w:p>
        </w:tc>
        <w:tc>
          <w:tcPr>
            <w:tcW w:w="633" w:type="dxa"/>
            <w:vMerge w:val="restart"/>
            <w:tcBorders>
              <w:top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hint="eastAsia" w:ascii="宋体" w:hAnsi="宋体"/>
                <w:sz w:val="24"/>
                <w:highlight w:val="none"/>
              </w:rPr>
            </w:pPr>
            <w:r>
              <w:rPr>
                <w:rFonts w:hint="eastAsia" w:ascii="宋体" w:hAnsi="宋体"/>
                <w:sz w:val="24"/>
                <w:highlight w:val="none"/>
              </w:rPr>
              <w:t>C</w:t>
            </w:r>
          </w:p>
        </w:tc>
        <w:tc>
          <w:tcPr>
            <w:tcW w:w="5753" w:type="dxa"/>
            <w:vMerge w:val="restart"/>
            <w:tcBorders>
              <w:top w:val="single" w:color="auto" w:sz="12" w:space="0"/>
            </w:tcBorders>
            <w:noWrap w:val="0"/>
            <w:vAlign w:val="center"/>
          </w:tcPr>
          <w:p>
            <w:pPr>
              <w:pageBreakBefore w:val="0"/>
              <w:kinsoku/>
              <w:wordWrap/>
              <w:overflowPunct/>
              <w:topLinePunct w:val="0"/>
              <w:autoSpaceDE/>
              <w:autoSpaceDN/>
              <w:bidi w:val="0"/>
              <w:spacing w:line="560" w:lineRule="exact"/>
              <w:textAlignment w:val="auto"/>
              <w:rPr>
                <w:rFonts w:hint="eastAsia" w:ascii="宋体" w:hAnsi="宋体"/>
                <w:sz w:val="24"/>
                <w:highlight w:val="none"/>
              </w:rPr>
            </w:pPr>
            <w:r>
              <w:rPr>
                <w:rFonts w:hint="eastAsia" w:ascii="宋体" w:hAnsi="宋体"/>
                <w:sz w:val="24"/>
                <w:highlight w:val="none"/>
              </w:rPr>
              <w:t>国家、部委等教育、文化、宣传、科研等主管部门，国家文联下属协会常设的</w:t>
            </w:r>
            <w:r>
              <w:rPr>
                <w:rFonts w:ascii="宋体" w:hAnsi="宋体"/>
                <w:sz w:val="24"/>
                <w:highlight w:val="none"/>
              </w:rPr>
              <w:t>A</w:t>
            </w:r>
            <w:r>
              <w:rPr>
                <w:rFonts w:hint="eastAsia" w:ascii="宋体" w:hAnsi="宋体"/>
                <w:sz w:val="24"/>
                <w:highlight w:val="none"/>
              </w:rPr>
              <w:t>、</w:t>
            </w:r>
            <w:r>
              <w:rPr>
                <w:rFonts w:ascii="宋体" w:hAnsi="宋体"/>
                <w:sz w:val="24"/>
                <w:highlight w:val="none"/>
              </w:rPr>
              <w:t>B</w:t>
            </w:r>
            <w:r>
              <w:rPr>
                <w:rFonts w:hint="eastAsia" w:ascii="宋体" w:hAnsi="宋体"/>
                <w:sz w:val="24"/>
                <w:highlight w:val="none"/>
              </w:rPr>
              <w:t>级以外学术成果奖项。</w:t>
            </w:r>
          </w:p>
        </w:tc>
        <w:tc>
          <w:tcPr>
            <w:tcW w:w="1304" w:type="dxa"/>
            <w:tcBorders>
              <w:top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ascii="宋体" w:hAnsi="宋体"/>
                <w:sz w:val="24"/>
                <w:highlight w:val="none"/>
              </w:rPr>
            </w:pPr>
            <w:r>
              <w:rPr>
                <w:rFonts w:hint="eastAsia" w:ascii="宋体" w:hAnsi="宋体"/>
                <w:sz w:val="24"/>
                <w:highlight w:val="none"/>
              </w:rPr>
              <w:t>一等奖</w:t>
            </w:r>
          </w:p>
        </w:tc>
        <w:tc>
          <w:tcPr>
            <w:tcW w:w="598" w:type="dxa"/>
            <w:tcBorders>
              <w:top w:val="single" w:color="auto" w:sz="12" w:space="0"/>
              <w:right w:val="single" w:color="auto" w:sz="4" w:space="0"/>
            </w:tcBorders>
            <w:noWrap w:val="0"/>
            <w:vAlign w:val="center"/>
          </w:tcPr>
          <w:p>
            <w:pPr>
              <w:pageBreakBefore w:val="0"/>
              <w:kinsoku/>
              <w:wordWrap/>
              <w:overflowPunct/>
              <w:topLinePunct w:val="0"/>
              <w:autoSpaceDE/>
              <w:autoSpaceDN/>
              <w:bidi w:val="0"/>
              <w:spacing w:line="560" w:lineRule="exact"/>
              <w:jc w:val="center"/>
              <w:textAlignment w:val="auto"/>
              <w:rPr>
                <w:rFonts w:ascii="宋体" w:hAnsi="宋体"/>
                <w:sz w:val="24"/>
                <w:highlight w:val="none"/>
              </w:rPr>
            </w:pPr>
            <w:r>
              <w:rPr>
                <w:rFonts w:ascii="宋体" w:hAnsi="宋体"/>
                <w:sz w:val="24"/>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679" w:type="dxa"/>
            <w:vMerge w:val="continue"/>
            <w:tcBorders>
              <w:left w:val="single" w:color="auto" w:sz="4" w:space="0"/>
            </w:tcBorders>
            <w:noWrap w:val="0"/>
            <w:vAlign w:val="center"/>
          </w:tcPr>
          <w:p>
            <w:pPr>
              <w:pageBreakBefore w:val="0"/>
              <w:kinsoku/>
              <w:wordWrap/>
              <w:overflowPunct/>
              <w:topLinePunct w:val="0"/>
              <w:autoSpaceDE/>
              <w:autoSpaceDN/>
              <w:bidi w:val="0"/>
              <w:spacing w:line="560" w:lineRule="exact"/>
              <w:jc w:val="center"/>
              <w:textAlignment w:val="auto"/>
              <w:rPr>
                <w:rFonts w:hint="eastAsia" w:ascii="宋体" w:hAnsi="宋体"/>
                <w:b/>
                <w:sz w:val="24"/>
                <w:highlight w:val="none"/>
              </w:rPr>
            </w:pPr>
          </w:p>
        </w:tc>
        <w:tc>
          <w:tcPr>
            <w:tcW w:w="633" w:type="dxa"/>
            <w:vMerge w:val="continue"/>
            <w:noWrap w:val="0"/>
            <w:vAlign w:val="center"/>
          </w:tcPr>
          <w:p>
            <w:pPr>
              <w:pageBreakBefore w:val="0"/>
              <w:kinsoku/>
              <w:wordWrap/>
              <w:overflowPunct/>
              <w:topLinePunct w:val="0"/>
              <w:autoSpaceDE/>
              <w:autoSpaceDN/>
              <w:bidi w:val="0"/>
              <w:spacing w:line="560" w:lineRule="exact"/>
              <w:jc w:val="center"/>
              <w:textAlignment w:val="auto"/>
              <w:rPr>
                <w:rFonts w:hint="eastAsia" w:ascii="宋体" w:hAnsi="宋体"/>
                <w:sz w:val="24"/>
                <w:highlight w:val="none"/>
              </w:rPr>
            </w:pPr>
          </w:p>
        </w:tc>
        <w:tc>
          <w:tcPr>
            <w:tcW w:w="5753" w:type="dxa"/>
            <w:vMerge w:val="continue"/>
            <w:noWrap w:val="0"/>
            <w:vAlign w:val="center"/>
          </w:tcPr>
          <w:p>
            <w:pPr>
              <w:pageBreakBefore w:val="0"/>
              <w:kinsoku/>
              <w:wordWrap/>
              <w:overflowPunct/>
              <w:topLinePunct w:val="0"/>
              <w:autoSpaceDE/>
              <w:autoSpaceDN/>
              <w:bidi w:val="0"/>
              <w:spacing w:line="560" w:lineRule="exact"/>
              <w:textAlignment w:val="auto"/>
              <w:rPr>
                <w:rFonts w:hint="eastAsia" w:ascii="宋体" w:hAnsi="宋体"/>
                <w:sz w:val="24"/>
                <w:highlight w:val="none"/>
              </w:rPr>
            </w:pPr>
          </w:p>
        </w:tc>
        <w:tc>
          <w:tcPr>
            <w:tcW w:w="1304" w:type="dxa"/>
            <w:tcBorders>
              <w:top w:val="single" w:color="auto" w:sz="4" w:space="0"/>
            </w:tcBorders>
            <w:noWrap w:val="0"/>
            <w:vAlign w:val="center"/>
          </w:tcPr>
          <w:p>
            <w:pPr>
              <w:pageBreakBefore w:val="0"/>
              <w:kinsoku/>
              <w:wordWrap/>
              <w:overflowPunct/>
              <w:topLinePunct w:val="0"/>
              <w:autoSpaceDE/>
              <w:autoSpaceDN/>
              <w:bidi w:val="0"/>
              <w:spacing w:line="560" w:lineRule="exact"/>
              <w:jc w:val="center"/>
              <w:textAlignment w:val="auto"/>
              <w:rPr>
                <w:rFonts w:ascii="宋体" w:hAnsi="宋体"/>
                <w:sz w:val="24"/>
                <w:highlight w:val="none"/>
              </w:rPr>
            </w:pPr>
            <w:r>
              <w:rPr>
                <w:rFonts w:hint="eastAsia" w:ascii="宋体" w:hAnsi="宋体"/>
                <w:sz w:val="24"/>
                <w:highlight w:val="none"/>
              </w:rPr>
              <w:t>二等奖</w:t>
            </w:r>
          </w:p>
        </w:tc>
        <w:tc>
          <w:tcPr>
            <w:tcW w:w="598" w:type="dxa"/>
            <w:tcBorders>
              <w:top w:val="single" w:color="auto" w:sz="4" w:space="0"/>
              <w:right w:val="single" w:color="auto" w:sz="4" w:space="0"/>
            </w:tcBorders>
            <w:noWrap w:val="0"/>
            <w:vAlign w:val="center"/>
          </w:tcPr>
          <w:p>
            <w:pPr>
              <w:pageBreakBefore w:val="0"/>
              <w:kinsoku/>
              <w:wordWrap/>
              <w:overflowPunct/>
              <w:topLinePunct w:val="0"/>
              <w:autoSpaceDE/>
              <w:autoSpaceDN/>
              <w:bidi w:val="0"/>
              <w:spacing w:line="560" w:lineRule="exact"/>
              <w:jc w:val="center"/>
              <w:textAlignment w:val="auto"/>
              <w:rPr>
                <w:rFonts w:ascii="宋体" w:hAnsi="宋体"/>
                <w:sz w:val="24"/>
                <w:highlight w:val="none"/>
              </w:rPr>
            </w:pPr>
            <w:r>
              <w:rPr>
                <w:rFonts w:ascii="宋体" w:hAnsi="宋体"/>
                <w:sz w:val="24"/>
                <w:highlight w:val="none"/>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679" w:type="dxa"/>
            <w:vMerge w:val="continue"/>
            <w:tcBorders>
              <w:left w:val="single" w:color="auto" w:sz="4" w:space="0"/>
            </w:tcBorders>
            <w:noWrap w:val="0"/>
            <w:vAlign w:val="center"/>
          </w:tcPr>
          <w:p>
            <w:pPr>
              <w:pageBreakBefore w:val="0"/>
              <w:kinsoku/>
              <w:wordWrap/>
              <w:overflowPunct/>
              <w:topLinePunct w:val="0"/>
              <w:autoSpaceDE/>
              <w:autoSpaceDN/>
              <w:bidi w:val="0"/>
              <w:spacing w:line="560" w:lineRule="exact"/>
              <w:jc w:val="center"/>
              <w:textAlignment w:val="auto"/>
              <w:rPr>
                <w:rFonts w:hint="eastAsia" w:ascii="宋体" w:hAnsi="宋体"/>
                <w:b/>
                <w:sz w:val="24"/>
                <w:highlight w:val="none"/>
              </w:rPr>
            </w:pPr>
          </w:p>
        </w:tc>
        <w:tc>
          <w:tcPr>
            <w:tcW w:w="633" w:type="dxa"/>
            <w:vMerge w:val="continue"/>
            <w:noWrap w:val="0"/>
            <w:vAlign w:val="center"/>
          </w:tcPr>
          <w:p>
            <w:pPr>
              <w:pageBreakBefore w:val="0"/>
              <w:kinsoku/>
              <w:wordWrap/>
              <w:overflowPunct/>
              <w:topLinePunct w:val="0"/>
              <w:autoSpaceDE/>
              <w:autoSpaceDN/>
              <w:bidi w:val="0"/>
              <w:spacing w:line="560" w:lineRule="exact"/>
              <w:jc w:val="center"/>
              <w:textAlignment w:val="auto"/>
              <w:rPr>
                <w:rFonts w:hint="eastAsia" w:ascii="宋体" w:hAnsi="宋体"/>
                <w:sz w:val="24"/>
                <w:highlight w:val="none"/>
              </w:rPr>
            </w:pPr>
          </w:p>
        </w:tc>
        <w:tc>
          <w:tcPr>
            <w:tcW w:w="5753" w:type="dxa"/>
            <w:vMerge w:val="continue"/>
            <w:noWrap w:val="0"/>
            <w:vAlign w:val="center"/>
          </w:tcPr>
          <w:p>
            <w:pPr>
              <w:pageBreakBefore w:val="0"/>
              <w:kinsoku/>
              <w:wordWrap/>
              <w:overflowPunct/>
              <w:topLinePunct w:val="0"/>
              <w:autoSpaceDE/>
              <w:autoSpaceDN/>
              <w:bidi w:val="0"/>
              <w:spacing w:line="560" w:lineRule="exact"/>
              <w:textAlignment w:val="auto"/>
              <w:rPr>
                <w:rFonts w:hint="eastAsia" w:ascii="宋体" w:hAnsi="宋体"/>
                <w:sz w:val="24"/>
                <w:highlight w:val="none"/>
              </w:rPr>
            </w:pPr>
          </w:p>
        </w:tc>
        <w:tc>
          <w:tcPr>
            <w:tcW w:w="1304" w:type="dxa"/>
            <w:tcBorders>
              <w:top w:val="single" w:color="auto" w:sz="4" w:space="0"/>
            </w:tcBorders>
            <w:noWrap w:val="0"/>
            <w:vAlign w:val="center"/>
          </w:tcPr>
          <w:p>
            <w:pPr>
              <w:pageBreakBefore w:val="0"/>
              <w:kinsoku/>
              <w:wordWrap/>
              <w:overflowPunct/>
              <w:topLinePunct w:val="0"/>
              <w:autoSpaceDE/>
              <w:autoSpaceDN/>
              <w:bidi w:val="0"/>
              <w:spacing w:line="560" w:lineRule="exact"/>
              <w:jc w:val="center"/>
              <w:textAlignment w:val="auto"/>
              <w:rPr>
                <w:rFonts w:ascii="宋体" w:hAnsi="宋体"/>
                <w:sz w:val="24"/>
                <w:highlight w:val="none"/>
              </w:rPr>
            </w:pPr>
            <w:r>
              <w:rPr>
                <w:rFonts w:hint="eastAsia" w:ascii="宋体" w:hAnsi="宋体"/>
                <w:sz w:val="24"/>
                <w:highlight w:val="none"/>
              </w:rPr>
              <w:t>三等奖</w:t>
            </w:r>
          </w:p>
        </w:tc>
        <w:tc>
          <w:tcPr>
            <w:tcW w:w="598" w:type="dxa"/>
            <w:tcBorders>
              <w:top w:val="single" w:color="auto" w:sz="4" w:space="0"/>
              <w:right w:val="single" w:color="auto" w:sz="4" w:space="0"/>
            </w:tcBorders>
            <w:noWrap w:val="0"/>
            <w:vAlign w:val="center"/>
          </w:tcPr>
          <w:p>
            <w:pPr>
              <w:pageBreakBefore w:val="0"/>
              <w:kinsoku/>
              <w:wordWrap/>
              <w:overflowPunct/>
              <w:topLinePunct w:val="0"/>
              <w:autoSpaceDE/>
              <w:autoSpaceDN/>
              <w:bidi w:val="0"/>
              <w:spacing w:line="560" w:lineRule="exact"/>
              <w:jc w:val="center"/>
              <w:textAlignment w:val="auto"/>
              <w:rPr>
                <w:rFonts w:ascii="宋体" w:hAnsi="宋体"/>
                <w:sz w:val="24"/>
                <w:highlight w:val="none"/>
              </w:rPr>
            </w:pPr>
            <w:r>
              <w:rPr>
                <w:rFonts w:ascii="宋体" w:hAnsi="宋体"/>
                <w:sz w:val="24"/>
                <w:highlight w:val="none"/>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679" w:type="dxa"/>
            <w:vMerge w:val="restart"/>
            <w:tcBorders>
              <w:top w:val="single" w:color="auto" w:sz="12" w:space="0"/>
              <w:left w:val="single" w:color="auto" w:sz="4" w:space="0"/>
            </w:tcBorders>
            <w:noWrap w:val="0"/>
            <w:vAlign w:val="center"/>
          </w:tcPr>
          <w:p>
            <w:pPr>
              <w:pageBreakBefore w:val="0"/>
              <w:kinsoku/>
              <w:wordWrap/>
              <w:overflowPunct/>
              <w:topLinePunct w:val="0"/>
              <w:autoSpaceDE/>
              <w:autoSpaceDN/>
              <w:bidi w:val="0"/>
              <w:spacing w:line="560" w:lineRule="exact"/>
              <w:jc w:val="center"/>
              <w:textAlignment w:val="auto"/>
              <w:rPr>
                <w:rFonts w:hint="eastAsia" w:ascii="宋体" w:hAnsi="宋体"/>
                <w:b/>
                <w:sz w:val="24"/>
                <w:highlight w:val="none"/>
              </w:rPr>
            </w:pPr>
            <w:r>
              <w:rPr>
                <w:rFonts w:hint="eastAsia" w:ascii="宋体" w:hAnsi="宋体"/>
                <w:b/>
                <w:sz w:val="24"/>
                <w:highlight w:val="none"/>
              </w:rPr>
              <w:t>D级</w:t>
            </w:r>
          </w:p>
        </w:tc>
        <w:tc>
          <w:tcPr>
            <w:tcW w:w="633" w:type="dxa"/>
            <w:vMerge w:val="restart"/>
            <w:tcBorders>
              <w:top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hint="eastAsia" w:ascii="宋体" w:hAnsi="宋体"/>
                <w:sz w:val="24"/>
                <w:highlight w:val="none"/>
              </w:rPr>
            </w:pPr>
            <w:r>
              <w:rPr>
                <w:rFonts w:hint="eastAsia" w:ascii="宋体" w:hAnsi="宋体"/>
                <w:sz w:val="24"/>
                <w:highlight w:val="none"/>
              </w:rPr>
              <w:t>D</w:t>
            </w:r>
          </w:p>
        </w:tc>
        <w:tc>
          <w:tcPr>
            <w:tcW w:w="5753" w:type="dxa"/>
            <w:vMerge w:val="restart"/>
            <w:tcBorders>
              <w:top w:val="single" w:color="auto" w:sz="12" w:space="0"/>
            </w:tcBorders>
            <w:noWrap w:val="0"/>
            <w:vAlign w:val="center"/>
          </w:tcPr>
          <w:p>
            <w:pPr>
              <w:pageBreakBefore w:val="0"/>
              <w:kinsoku/>
              <w:wordWrap/>
              <w:overflowPunct/>
              <w:topLinePunct w:val="0"/>
              <w:autoSpaceDE/>
              <w:autoSpaceDN/>
              <w:bidi w:val="0"/>
              <w:spacing w:line="560" w:lineRule="exact"/>
              <w:textAlignment w:val="auto"/>
              <w:rPr>
                <w:rFonts w:hint="eastAsia" w:ascii="宋体" w:hAnsi="宋体"/>
                <w:sz w:val="24"/>
                <w:highlight w:val="none"/>
              </w:rPr>
            </w:pPr>
            <w:r>
              <w:rPr>
                <w:rFonts w:hint="eastAsia" w:ascii="宋体" w:hAnsi="宋体"/>
                <w:sz w:val="24"/>
                <w:highlight w:val="none"/>
              </w:rPr>
              <w:t>各省、市、自治区教育、文化、宣传、科研等主管部门，各省、市、自治区文联下属协会常设的</w:t>
            </w:r>
            <w:r>
              <w:rPr>
                <w:rFonts w:ascii="宋体" w:hAnsi="宋体"/>
                <w:sz w:val="24"/>
                <w:highlight w:val="none"/>
              </w:rPr>
              <w:t>A</w:t>
            </w:r>
            <w:r>
              <w:rPr>
                <w:rFonts w:hint="eastAsia" w:ascii="宋体" w:hAnsi="宋体"/>
                <w:sz w:val="24"/>
                <w:highlight w:val="none"/>
              </w:rPr>
              <w:t>、</w:t>
            </w:r>
            <w:r>
              <w:rPr>
                <w:rFonts w:ascii="宋体" w:hAnsi="宋体"/>
                <w:sz w:val="24"/>
                <w:highlight w:val="none"/>
              </w:rPr>
              <w:t>B</w:t>
            </w:r>
            <w:r>
              <w:rPr>
                <w:rFonts w:hint="eastAsia" w:ascii="宋体" w:hAnsi="宋体"/>
                <w:sz w:val="24"/>
                <w:highlight w:val="none"/>
              </w:rPr>
              <w:t>、C级以外的学术成果奖项。内蒙古艺术学院科研奖项。</w:t>
            </w:r>
          </w:p>
        </w:tc>
        <w:tc>
          <w:tcPr>
            <w:tcW w:w="1304" w:type="dxa"/>
            <w:tcBorders>
              <w:top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ascii="宋体" w:hAnsi="宋体"/>
                <w:sz w:val="24"/>
                <w:highlight w:val="none"/>
              </w:rPr>
            </w:pPr>
            <w:r>
              <w:rPr>
                <w:rFonts w:hint="eastAsia" w:ascii="宋体" w:hAnsi="宋体"/>
                <w:sz w:val="24"/>
                <w:highlight w:val="none"/>
              </w:rPr>
              <w:t>一等奖</w:t>
            </w:r>
          </w:p>
        </w:tc>
        <w:tc>
          <w:tcPr>
            <w:tcW w:w="598" w:type="dxa"/>
            <w:tcBorders>
              <w:top w:val="single" w:color="auto" w:sz="12" w:space="0"/>
              <w:right w:val="single" w:color="auto" w:sz="4" w:space="0"/>
            </w:tcBorders>
            <w:noWrap w:val="0"/>
            <w:vAlign w:val="center"/>
          </w:tcPr>
          <w:p>
            <w:pPr>
              <w:pageBreakBefore w:val="0"/>
              <w:kinsoku/>
              <w:wordWrap/>
              <w:overflowPunct/>
              <w:topLinePunct w:val="0"/>
              <w:autoSpaceDE/>
              <w:autoSpaceDN/>
              <w:bidi w:val="0"/>
              <w:spacing w:line="560" w:lineRule="exact"/>
              <w:jc w:val="center"/>
              <w:textAlignment w:val="auto"/>
              <w:rPr>
                <w:rFonts w:ascii="宋体" w:hAnsi="宋体"/>
                <w:sz w:val="24"/>
                <w:highlight w:val="none"/>
              </w:rPr>
            </w:pPr>
            <w:r>
              <w:rPr>
                <w:rFonts w:ascii="宋体" w:hAnsi="宋体"/>
                <w:sz w:val="24"/>
                <w:highlight w:val="none"/>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679" w:type="dxa"/>
            <w:vMerge w:val="continue"/>
            <w:tcBorders>
              <w:left w:val="single" w:color="auto" w:sz="4" w:space="0"/>
            </w:tcBorders>
            <w:noWrap w:val="0"/>
            <w:vAlign w:val="center"/>
          </w:tcPr>
          <w:p>
            <w:pPr>
              <w:pageBreakBefore w:val="0"/>
              <w:kinsoku/>
              <w:wordWrap/>
              <w:overflowPunct/>
              <w:topLinePunct w:val="0"/>
              <w:autoSpaceDE/>
              <w:autoSpaceDN/>
              <w:bidi w:val="0"/>
              <w:spacing w:line="560" w:lineRule="exact"/>
              <w:jc w:val="center"/>
              <w:textAlignment w:val="auto"/>
              <w:rPr>
                <w:rFonts w:ascii="宋体" w:hAnsi="宋体"/>
                <w:sz w:val="24"/>
                <w:highlight w:val="none"/>
              </w:rPr>
            </w:pPr>
          </w:p>
        </w:tc>
        <w:tc>
          <w:tcPr>
            <w:tcW w:w="633" w:type="dxa"/>
            <w:vMerge w:val="continue"/>
            <w:noWrap w:val="0"/>
            <w:vAlign w:val="center"/>
          </w:tcPr>
          <w:p>
            <w:pPr>
              <w:pageBreakBefore w:val="0"/>
              <w:kinsoku/>
              <w:wordWrap/>
              <w:overflowPunct/>
              <w:topLinePunct w:val="0"/>
              <w:autoSpaceDE/>
              <w:autoSpaceDN/>
              <w:bidi w:val="0"/>
              <w:spacing w:line="560" w:lineRule="exact"/>
              <w:jc w:val="center"/>
              <w:textAlignment w:val="auto"/>
              <w:rPr>
                <w:rFonts w:ascii="宋体" w:hAnsi="宋体"/>
                <w:sz w:val="24"/>
                <w:highlight w:val="none"/>
              </w:rPr>
            </w:pPr>
          </w:p>
        </w:tc>
        <w:tc>
          <w:tcPr>
            <w:tcW w:w="5753" w:type="dxa"/>
            <w:vMerge w:val="continue"/>
            <w:noWrap w:val="0"/>
            <w:vAlign w:val="center"/>
          </w:tcPr>
          <w:p>
            <w:pPr>
              <w:pageBreakBefore w:val="0"/>
              <w:kinsoku/>
              <w:wordWrap/>
              <w:overflowPunct/>
              <w:topLinePunct w:val="0"/>
              <w:autoSpaceDE/>
              <w:autoSpaceDN/>
              <w:bidi w:val="0"/>
              <w:spacing w:line="560" w:lineRule="exact"/>
              <w:jc w:val="center"/>
              <w:textAlignment w:val="auto"/>
              <w:rPr>
                <w:rFonts w:ascii="宋体" w:hAnsi="宋体"/>
                <w:sz w:val="24"/>
                <w:highlight w:val="none"/>
              </w:rPr>
            </w:pPr>
          </w:p>
        </w:tc>
        <w:tc>
          <w:tcPr>
            <w:tcW w:w="1304" w:type="dxa"/>
            <w:noWrap w:val="0"/>
            <w:vAlign w:val="center"/>
          </w:tcPr>
          <w:p>
            <w:pPr>
              <w:pageBreakBefore w:val="0"/>
              <w:kinsoku/>
              <w:wordWrap/>
              <w:overflowPunct/>
              <w:topLinePunct w:val="0"/>
              <w:autoSpaceDE/>
              <w:autoSpaceDN/>
              <w:bidi w:val="0"/>
              <w:spacing w:line="560" w:lineRule="exact"/>
              <w:jc w:val="center"/>
              <w:textAlignment w:val="auto"/>
              <w:rPr>
                <w:rFonts w:ascii="宋体" w:hAnsi="宋体"/>
                <w:sz w:val="24"/>
                <w:highlight w:val="none"/>
              </w:rPr>
            </w:pPr>
            <w:r>
              <w:rPr>
                <w:rFonts w:hint="eastAsia" w:ascii="宋体" w:hAnsi="宋体"/>
                <w:sz w:val="24"/>
                <w:highlight w:val="none"/>
              </w:rPr>
              <w:t>二等奖</w:t>
            </w:r>
          </w:p>
        </w:tc>
        <w:tc>
          <w:tcPr>
            <w:tcW w:w="598" w:type="dxa"/>
            <w:tcBorders>
              <w:right w:val="single" w:color="auto" w:sz="4" w:space="0"/>
            </w:tcBorders>
            <w:noWrap w:val="0"/>
            <w:vAlign w:val="center"/>
          </w:tcPr>
          <w:p>
            <w:pPr>
              <w:pageBreakBefore w:val="0"/>
              <w:kinsoku/>
              <w:wordWrap/>
              <w:overflowPunct/>
              <w:topLinePunct w:val="0"/>
              <w:autoSpaceDE/>
              <w:autoSpaceDN/>
              <w:bidi w:val="0"/>
              <w:spacing w:line="560" w:lineRule="exact"/>
              <w:jc w:val="center"/>
              <w:textAlignment w:val="auto"/>
              <w:rPr>
                <w:rFonts w:ascii="宋体" w:hAnsi="宋体"/>
                <w:sz w:val="24"/>
                <w:highlight w:val="none"/>
              </w:rPr>
            </w:pPr>
            <w:r>
              <w:rPr>
                <w:rFonts w:ascii="宋体" w:hAnsi="宋体"/>
                <w:sz w:val="24"/>
                <w:highlight w:val="none"/>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679" w:type="dxa"/>
            <w:vMerge w:val="continue"/>
            <w:tcBorders>
              <w:left w:val="single" w:color="auto" w:sz="4" w:space="0"/>
              <w:bottom w:val="single" w:color="auto" w:sz="4" w:space="0"/>
            </w:tcBorders>
            <w:noWrap w:val="0"/>
            <w:vAlign w:val="center"/>
          </w:tcPr>
          <w:p>
            <w:pPr>
              <w:pageBreakBefore w:val="0"/>
              <w:kinsoku/>
              <w:wordWrap/>
              <w:overflowPunct/>
              <w:topLinePunct w:val="0"/>
              <w:autoSpaceDE/>
              <w:autoSpaceDN/>
              <w:bidi w:val="0"/>
              <w:spacing w:line="560" w:lineRule="exact"/>
              <w:jc w:val="center"/>
              <w:textAlignment w:val="auto"/>
              <w:rPr>
                <w:rFonts w:hint="eastAsia" w:ascii="宋体" w:hAnsi="宋体"/>
                <w:sz w:val="24"/>
                <w:highlight w:val="none"/>
              </w:rPr>
            </w:pPr>
          </w:p>
        </w:tc>
        <w:tc>
          <w:tcPr>
            <w:tcW w:w="633" w:type="dxa"/>
            <w:vMerge w:val="continue"/>
            <w:tcBorders>
              <w:bottom w:val="single" w:color="auto" w:sz="4" w:space="0"/>
            </w:tcBorders>
            <w:noWrap w:val="0"/>
            <w:vAlign w:val="top"/>
          </w:tcPr>
          <w:p>
            <w:pPr>
              <w:pageBreakBefore w:val="0"/>
              <w:kinsoku/>
              <w:wordWrap/>
              <w:overflowPunct/>
              <w:topLinePunct w:val="0"/>
              <w:autoSpaceDE/>
              <w:autoSpaceDN/>
              <w:bidi w:val="0"/>
              <w:spacing w:line="560" w:lineRule="exact"/>
              <w:jc w:val="center"/>
              <w:textAlignment w:val="auto"/>
              <w:rPr>
                <w:rFonts w:ascii="宋体" w:hAnsi="宋体"/>
                <w:sz w:val="24"/>
                <w:highlight w:val="none"/>
              </w:rPr>
            </w:pPr>
          </w:p>
        </w:tc>
        <w:tc>
          <w:tcPr>
            <w:tcW w:w="5753" w:type="dxa"/>
            <w:vMerge w:val="continue"/>
            <w:tcBorders>
              <w:bottom w:val="single" w:color="auto" w:sz="4" w:space="0"/>
            </w:tcBorders>
            <w:noWrap w:val="0"/>
            <w:vAlign w:val="center"/>
          </w:tcPr>
          <w:p>
            <w:pPr>
              <w:pageBreakBefore w:val="0"/>
              <w:kinsoku/>
              <w:wordWrap/>
              <w:overflowPunct/>
              <w:topLinePunct w:val="0"/>
              <w:autoSpaceDE/>
              <w:autoSpaceDN/>
              <w:bidi w:val="0"/>
              <w:spacing w:line="560" w:lineRule="exact"/>
              <w:jc w:val="center"/>
              <w:textAlignment w:val="auto"/>
              <w:rPr>
                <w:rFonts w:ascii="宋体" w:hAnsi="宋体"/>
                <w:sz w:val="24"/>
                <w:highlight w:val="none"/>
              </w:rPr>
            </w:pPr>
          </w:p>
        </w:tc>
        <w:tc>
          <w:tcPr>
            <w:tcW w:w="1304" w:type="dxa"/>
            <w:tcBorders>
              <w:bottom w:val="single" w:color="auto" w:sz="4" w:space="0"/>
            </w:tcBorders>
            <w:noWrap w:val="0"/>
            <w:vAlign w:val="center"/>
          </w:tcPr>
          <w:p>
            <w:pPr>
              <w:pageBreakBefore w:val="0"/>
              <w:kinsoku/>
              <w:wordWrap/>
              <w:overflowPunct/>
              <w:topLinePunct w:val="0"/>
              <w:autoSpaceDE/>
              <w:autoSpaceDN/>
              <w:bidi w:val="0"/>
              <w:spacing w:line="560" w:lineRule="exact"/>
              <w:jc w:val="center"/>
              <w:textAlignment w:val="auto"/>
              <w:rPr>
                <w:rFonts w:ascii="宋体" w:hAnsi="宋体"/>
                <w:sz w:val="24"/>
                <w:highlight w:val="none"/>
              </w:rPr>
            </w:pPr>
            <w:r>
              <w:rPr>
                <w:rFonts w:hint="eastAsia" w:ascii="宋体" w:hAnsi="宋体"/>
                <w:sz w:val="24"/>
                <w:highlight w:val="none"/>
              </w:rPr>
              <w:t>三等奖</w:t>
            </w:r>
          </w:p>
        </w:tc>
        <w:tc>
          <w:tcPr>
            <w:tcW w:w="598" w:type="dxa"/>
            <w:tcBorders>
              <w:bottom w:val="single" w:color="auto" w:sz="4" w:space="0"/>
              <w:right w:val="single" w:color="auto" w:sz="4" w:space="0"/>
            </w:tcBorders>
            <w:noWrap w:val="0"/>
            <w:vAlign w:val="center"/>
          </w:tcPr>
          <w:p>
            <w:pPr>
              <w:pageBreakBefore w:val="0"/>
              <w:kinsoku/>
              <w:wordWrap/>
              <w:overflowPunct/>
              <w:topLinePunct w:val="0"/>
              <w:autoSpaceDE/>
              <w:autoSpaceDN/>
              <w:bidi w:val="0"/>
              <w:spacing w:line="560" w:lineRule="exact"/>
              <w:jc w:val="center"/>
              <w:textAlignment w:val="auto"/>
              <w:rPr>
                <w:rFonts w:ascii="宋体" w:hAnsi="宋体"/>
                <w:sz w:val="24"/>
                <w:highlight w:val="none"/>
              </w:rPr>
            </w:pPr>
            <w:r>
              <w:rPr>
                <w:rFonts w:ascii="宋体" w:hAnsi="宋体"/>
                <w:sz w:val="24"/>
                <w:highlight w:val="none"/>
              </w:rPr>
              <w:t>4</w:t>
            </w:r>
          </w:p>
        </w:tc>
      </w:tr>
    </w:tbl>
    <w:p>
      <w:pPr>
        <w:pageBreakBefore w:val="0"/>
        <w:kinsoku/>
        <w:wordWrap/>
        <w:overflowPunct/>
        <w:topLinePunct w:val="0"/>
        <w:autoSpaceDE/>
        <w:autoSpaceDN/>
        <w:bidi w:val="0"/>
        <w:spacing w:line="560" w:lineRule="exact"/>
        <w:ind w:firstLine="480" w:firstLineChars="200"/>
        <w:textAlignment w:val="auto"/>
        <w:rPr>
          <w:rFonts w:hint="eastAsia" w:ascii="仿宋" w:hAnsi="仿宋" w:eastAsia="仿宋"/>
          <w:sz w:val="24"/>
          <w:highlight w:val="none"/>
        </w:rPr>
      </w:pPr>
      <w:r>
        <w:rPr>
          <w:rFonts w:hint="eastAsia" w:ascii="仿宋" w:hAnsi="仿宋" w:eastAsia="仿宋"/>
          <w:sz w:val="24"/>
          <w:highlight w:val="none"/>
        </w:rPr>
        <w:t>注：</w:t>
      </w:r>
      <w:r>
        <w:rPr>
          <w:rFonts w:hint="eastAsia" w:ascii="仿宋" w:hAnsi="仿宋" w:eastAsia="仿宋"/>
          <w:b/>
          <w:sz w:val="24"/>
          <w:highlight w:val="none"/>
        </w:rPr>
        <w:t>1.</w:t>
      </w:r>
      <w:r>
        <w:rPr>
          <w:rFonts w:hint="eastAsia" w:ascii="仿宋" w:hAnsi="仿宋" w:eastAsia="仿宋"/>
          <w:sz w:val="24"/>
          <w:highlight w:val="none"/>
        </w:rPr>
        <w:t>上述列表中不包含的奖项，由科研处会同相关领域专家对奖项的级别进行评定；</w:t>
      </w:r>
      <w:r>
        <w:rPr>
          <w:rFonts w:hint="eastAsia" w:ascii="仿宋" w:hAnsi="仿宋" w:eastAsia="仿宋"/>
          <w:b/>
          <w:sz w:val="24"/>
          <w:highlight w:val="none"/>
        </w:rPr>
        <w:t>2.</w:t>
      </w:r>
      <w:r>
        <w:rPr>
          <w:rFonts w:ascii="仿宋" w:hAnsi="仿宋" w:eastAsia="仿宋"/>
          <w:sz w:val="24"/>
          <w:highlight w:val="none"/>
        </w:rPr>
        <w:t>如某奖项中不设奖励等次，则按照同级别奖项取中(二等奖)的分值计算</w:t>
      </w:r>
      <w:r>
        <w:rPr>
          <w:rFonts w:hint="eastAsia" w:ascii="仿宋" w:hAnsi="仿宋" w:eastAsia="仿宋"/>
          <w:sz w:val="24"/>
          <w:highlight w:val="none"/>
        </w:rPr>
        <w:t>；</w:t>
      </w:r>
      <w:r>
        <w:rPr>
          <w:rFonts w:hint="eastAsia" w:ascii="仿宋" w:hAnsi="仿宋" w:eastAsia="仿宋"/>
          <w:b/>
          <w:sz w:val="24"/>
          <w:highlight w:val="none"/>
        </w:rPr>
        <w:t>3</w:t>
      </w:r>
      <w:r>
        <w:rPr>
          <w:rFonts w:ascii="仿宋" w:hAnsi="仿宋" w:eastAsia="仿宋"/>
          <w:b/>
          <w:sz w:val="24"/>
          <w:highlight w:val="none"/>
        </w:rPr>
        <w:t>.</w:t>
      </w:r>
      <w:r>
        <w:rPr>
          <w:rFonts w:hint="eastAsia" w:ascii="仿宋" w:hAnsi="仿宋" w:eastAsia="仿宋"/>
          <w:sz w:val="24"/>
          <w:highlight w:val="none"/>
        </w:rPr>
        <w:t>如某奖项设奖中出现“特等奖”“优秀奖”,则按照原级别等次分值的级差合理递增或递减。</w:t>
      </w:r>
      <w:r>
        <w:rPr>
          <w:rFonts w:hint="eastAsia" w:ascii="仿宋" w:hAnsi="仿宋" w:eastAsia="仿宋"/>
          <w:b/>
          <w:sz w:val="24"/>
          <w:highlight w:val="none"/>
        </w:rPr>
        <w:t>4</w:t>
      </w:r>
      <w:r>
        <w:rPr>
          <w:rFonts w:ascii="仿宋" w:hAnsi="仿宋" w:eastAsia="仿宋"/>
          <w:b/>
          <w:sz w:val="24"/>
          <w:highlight w:val="none"/>
        </w:rPr>
        <w:t>.</w:t>
      </w:r>
      <w:r>
        <w:rPr>
          <w:rFonts w:hint="eastAsia" w:ascii="仿宋" w:hAnsi="仿宋" w:eastAsia="仿宋"/>
          <w:sz w:val="24"/>
          <w:highlight w:val="none"/>
        </w:rPr>
        <w:t>集体获奖成果排名第一按成果分值</w:t>
      </w:r>
      <w:r>
        <w:rPr>
          <w:rFonts w:ascii="仿宋" w:hAnsi="仿宋" w:eastAsia="仿宋"/>
          <w:sz w:val="24"/>
          <w:highlight w:val="none"/>
        </w:rPr>
        <w:t>100</w:t>
      </w:r>
      <w:r>
        <w:rPr>
          <w:rFonts w:hint="eastAsia" w:ascii="仿宋" w:hAnsi="仿宋" w:eastAsia="仿宋"/>
          <w:sz w:val="24"/>
          <w:highlight w:val="none"/>
        </w:rPr>
        <w:t>﹪计分，排在后面的每一位获奖人员都按照前一名分数的8</w:t>
      </w:r>
      <w:r>
        <w:rPr>
          <w:rFonts w:ascii="仿宋" w:hAnsi="仿宋" w:eastAsia="仿宋"/>
          <w:sz w:val="24"/>
          <w:highlight w:val="none"/>
        </w:rPr>
        <w:t>0%</w:t>
      </w:r>
      <w:r>
        <w:rPr>
          <w:rFonts w:hint="eastAsia" w:ascii="仿宋" w:hAnsi="仿宋" w:eastAsia="仿宋"/>
          <w:sz w:val="24"/>
          <w:highlight w:val="none"/>
        </w:rPr>
        <w:t>计算得分，依次类推。</w:t>
      </w:r>
      <w:r>
        <w:rPr>
          <w:rFonts w:hint="eastAsia" w:ascii="仿宋" w:hAnsi="仿宋" w:eastAsia="仿宋"/>
          <w:b/>
          <w:sz w:val="24"/>
          <w:highlight w:val="none"/>
        </w:rPr>
        <w:t>5</w:t>
      </w:r>
      <w:r>
        <w:rPr>
          <w:rFonts w:ascii="仿宋" w:hAnsi="仿宋" w:eastAsia="仿宋"/>
          <w:b/>
          <w:sz w:val="24"/>
          <w:highlight w:val="none"/>
        </w:rPr>
        <w:t>.</w:t>
      </w:r>
      <w:r>
        <w:rPr>
          <w:rFonts w:ascii="仿宋" w:hAnsi="仿宋" w:eastAsia="仿宋"/>
          <w:sz w:val="24"/>
          <w:highlight w:val="none"/>
        </w:rPr>
        <w:t>学生获奖，指导教师按成果分值</w:t>
      </w:r>
      <w:r>
        <w:rPr>
          <w:rFonts w:hint="eastAsia" w:ascii="仿宋" w:hAnsi="仿宋" w:eastAsia="仿宋"/>
          <w:sz w:val="24"/>
          <w:highlight w:val="none"/>
        </w:rPr>
        <w:t>1</w:t>
      </w:r>
      <w:r>
        <w:rPr>
          <w:rFonts w:ascii="仿宋" w:hAnsi="仿宋" w:eastAsia="仿宋"/>
          <w:sz w:val="24"/>
          <w:highlight w:val="none"/>
        </w:rPr>
        <w:t>00%计分，以二级学院负责人和学生签字的《参评成果指导教师</w:t>
      </w:r>
      <w:r>
        <w:rPr>
          <w:rFonts w:hint="eastAsia" w:ascii="仿宋" w:hAnsi="仿宋" w:eastAsia="仿宋"/>
          <w:sz w:val="24"/>
          <w:highlight w:val="none"/>
        </w:rPr>
        <w:t>说明》为依据，</w:t>
      </w:r>
      <w:r>
        <w:rPr>
          <w:rFonts w:ascii="仿宋" w:hAnsi="仿宋" w:eastAsia="仿宋"/>
          <w:sz w:val="24"/>
          <w:highlight w:val="none"/>
        </w:rPr>
        <w:t>《参评成果指导教师</w:t>
      </w:r>
      <w:r>
        <w:rPr>
          <w:rFonts w:hint="eastAsia" w:ascii="仿宋" w:hAnsi="仿宋" w:eastAsia="仿宋"/>
          <w:sz w:val="24"/>
          <w:highlight w:val="none"/>
        </w:rPr>
        <w:t>说明》须在</w:t>
      </w:r>
      <w:r>
        <w:rPr>
          <w:rFonts w:ascii="仿宋" w:hAnsi="仿宋" w:eastAsia="仿宋"/>
          <w:sz w:val="24"/>
          <w:highlight w:val="none"/>
        </w:rPr>
        <w:t>申报参评该奖项前提交。</w:t>
      </w:r>
    </w:p>
    <w:p>
      <w:pPr>
        <w:pageBreakBefore w:val="0"/>
        <w:widowControl/>
        <w:kinsoku/>
        <w:wordWrap/>
        <w:overflowPunct/>
        <w:topLinePunct w:val="0"/>
        <w:autoSpaceDE/>
        <w:autoSpaceDN/>
        <w:bidi w:val="0"/>
        <w:spacing w:line="560" w:lineRule="exact"/>
        <w:ind w:firstLine="321" w:firstLineChars="100"/>
        <w:jc w:val="left"/>
        <w:textAlignment w:val="auto"/>
        <w:rPr>
          <w:rFonts w:ascii="仿宋" w:hAnsi="仿宋" w:eastAsia="仿宋" w:cs="宋体"/>
          <w:b/>
          <w:kern w:val="0"/>
          <w:sz w:val="32"/>
          <w:szCs w:val="32"/>
          <w:highlight w:val="none"/>
        </w:rPr>
      </w:pPr>
      <w:r>
        <w:rPr>
          <w:rFonts w:hint="eastAsia" w:ascii="仿宋" w:hAnsi="仿宋" w:eastAsia="仿宋" w:cs="宋体"/>
          <w:b/>
          <w:bCs/>
          <w:kern w:val="0"/>
          <w:sz w:val="32"/>
          <w:szCs w:val="32"/>
          <w:highlight w:val="none"/>
          <w:lang w:val="en-US" w:eastAsia="zh-CN"/>
        </w:rPr>
        <w:t>3.</w:t>
      </w:r>
      <w:r>
        <w:rPr>
          <w:rFonts w:ascii="仿宋" w:hAnsi="仿宋" w:eastAsia="仿宋" w:cs="仿宋"/>
          <w:b/>
          <w:bCs/>
          <w:sz w:val="32"/>
          <w:szCs w:val="32"/>
          <w:highlight w:val="none"/>
        </w:rPr>
        <w:t>项目</w:t>
      </w:r>
      <w:r>
        <w:rPr>
          <w:rFonts w:hint="eastAsia" w:ascii="仿宋" w:hAnsi="仿宋" w:eastAsia="仿宋" w:cs="宋体"/>
          <w:b/>
          <w:kern w:val="0"/>
          <w:sz w:val="32"/>
          <w:szCs w:val="32"/>
          <w:highlight w:val="none"/>
        </w:rPr>
        <w:t>分类和分值</w:t>
      </w:r>
    </w:p>
    <w:p>
      <w:pPr>
        <w:pageBreakBefore w:val="0"/>
        <w:widowControl/>
        <w:kinsoku/>
        <w:wordWrap/>
        <w:overflowPunct/>
        <w:topLinePunct w:val="0"/>
        <w:autoSpaceDE/>
        <w:autoSpaceDN/>
        <w:bidi w:val="0"/>
        <w:spacing w:line="560" w:lineRule="exact"/>
        <w:ind w:firstLine="320" w:firstLineChars="100"/>
        <w:jc w:val="left"/>
        <w:textAlignment w:val="auto"/>
        <w:rPr>
          <w:rFonts w:ascii="仿宋" w:hAnsi="仿宋" w:eastAsia="仿宋" w:cs="宋体"/>
          <w:bCs/>
          <w:kern w:val="0"/>
          <w:sz w:val="32"/>
          <w:szCs w:val="32"/>
          <w:highlight w:val="none"/>
        </w:rPr>
      </w:pPr>
      <w:r>
        <w:rPr>
          <w:rFonts w:hint="eastAsia" w:ascii="仿宋" w:hAnsi="仿宋" w:eastAsia="仿宋" w:cs="宋体"/>
          <w:bCs/>
          <w:kern w:val="0"/>
          <w:sz w:val="32"/>
          <w:szCs w:val="32"/>
          <w:highlight w:val="none"/>
          <w:lang w:eastAsia="zh-CN"/>
        </w:rPr>
        <w:t>（</w:t>
      </w:r>
      <w:r>
        <w:rPr>
          <w:rFonts w:hint="eastAsia" w:ascii="仿宋" w:hAnsi="仿宋" w:eastAsia="仿宋" w:cs="宋体"/>
          <w:bCs/>
          <w:kern w:val="0"/>
          <w:sz w:val="32"/>
          <w:szCs w:val="32"/>
          <w:highlight w:val="none"/>
          <w:lang w:val="en-US" w:eastAsia="zh-CN"/>
        </w:rPr>
        <w:t>1</w:t>
      </w:r>
      <w:r>
        <w:rPr>
          <w:rFonts w:hint="eastAsia" w:ascii="仿宋" w:hAnsi="仿宋" w:eastAsia="仿宋" w:cs="宋体"/>
          <w:bCs/>
          <w:kern w:val="0"/>
          <w:sz w:val="32"/>
          <w:szCs w:val="32"/>
          <w:highlight w:val="none"/>
          <w:lang w:eastAsia="zh-CN"/>
        </w:rPr>
        <w:t>）</w:t>
      </w:r>
      <w:r>
        <w:rPr>
          <w:rFonts w:hint="eastAsia" w:ascii="仿宋" w:hAnsi="仿宋" w:eastAsia="仿宋" w:cs="宋体"/>
          <w:bCs/>
          <w:kern w:val="0"/>
          <w:sz w:val="32"/>
          <w:szCs w:val="32"/>
          <w:highlight w:val="none"/>
        </w:rPr>
        <w:t>纵向项目、学校项目分类和分值</w:t>
      </w:r>
    </w:p>
    <w:tbl>
      <w:tblPr>
        <w:tblStyle w:val="4"/>
        <w:tblW w:w="102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1"/>
        <w:gridCol w:w="1005"/>
        <w:gridCol w:w="756"/>
        <w:gridCol w:w="756"/>
        <w:gridCol w:w="757"/>
        <w:gridCol w:w="756"/>
        <w:gridCol w:w="757"/>
        <w:gridCol w:w="756"/>
        <w:gridCol w:w="756"/>
        <w:gridCol w:w="757"/>
        <w:gridCol w:w="756"/>
        <w:gridCol w:w="7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661" w:type="dxa"/>
            <w:vMerge w:val="restart"/>
            <w:tcBorders>
              <w:top w:val="single" w:color="auto" w:sz="12" w:space="0"/>
            </w:tcBorders>
            <w:shd w:val="clear" w:color="auto" w:fill="BDD6EE"/>
            <w:noWrap w:val="0"/>
            <w:vAlign w:val="center"/>
          </w:tcPr>
          <w:p>
            <w:pPr>
              <w:pageBreakBefore w:val="0"/>
              <w:kinsoku/>
              <w:wordWrap/>
              <w:overflowPunct/>
              <w:topLinePunct w:val="0"/>
              <w:autoSpaceDE/>
              <w:autoSpaceDN/>
              <w:bidi w:val="0"/>
              <w:spacing w:line="560" w:lineRule="exact"/>
              <w:jc w:val="center"/>
              <w:textAlignment w:val="auto"/>
              <w:rPr>
                <w:rFonts w:hint="eastAsia" w:ascii="仿宋" w:hAnsi="仿宋" w:eastAsia="仿宋"/>
                <w:b/>
                <w:bCs/>
                <w:sz w:val="24"/>
                <w:highlight w:val="none"/>
              </w:rPr>
            </w:pPr>
            <w:bookmarkStart w:id="7" w:name="_Hlk118299116"/>
            <w:r>
              <w:rPr>
                <w:rFonts w:hint="eastAsia" w:ascii="仿宋" w:hAnsi="仿宋" w:eastAsia="仿宋"/>
                <w:b/>
                <w:bCs/>
                <w:sz w:val="24"/>
                <w:highlight w:val="none"/>
              </w:rPr>
              <w:t>项目分类</w:t>
            </w:r>
          </w:p>
        </w:tc>
        <w:tc>
          <w:tcPr>
            <w:tcW w:w="1005" w:type="dxa"/>
            <w:vMerge w:val="restart"/>
            <w:tcBorders>
              <w:top w:val="single" w:color="auto" w:sz="12" w:space="0"/>
              <w:right w:val="single" w:color="auto" w:sz="12" w:space="0"/>
            </w:tcBorders>
            <w:shd w:val="clear" w:color="auto" w:fill="BDD6EE"/>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b/>
                <w:bCs/>
                <w:sz w:val="24"/>
                <w:highlight w:val="none"/>
              </w:rPr>
            </w:pPr>
            <w:r>
              <w:rPr>
                <w:rFonts w:hint="eastAsia" w:ascii="仿宋" w:hAnsi="仿宋" w:eastAsia="仿宋"/>
                <w:b/>
                <w:bCs/>
                <w:sz w:val="24"/>
                <w:highlight w:val="none"/>
              </w:rPr>
              <w:t>项目</w:t>
            </w:r>
          </w:p>
          <w:p>
            <w:pPr>
              <w:pageBreakBefore w:val="0"/>
              <w:kinsoku/>
              <w:wordWrap/>
              <w:overflowPunct/>
              <w:topLinePunct w:val="0"/>
              <w:autoSpaceDE/>
              <w:autoSpaceDN/>
              <w:bidi w:val="0"/>
              <w:spacing w:line="560" w:lineRule="exact"/>
              <w:jc w:val="center"/>
              <w:textAlignment w:val="auto"/>
              <w:rPr>
                <w:rFonts w:ascii="仿宋" w:hAnsi="仿宋" w:eastAsia="仿宋"/>
                <w:b/>
                <w:bCs/>
                <w:sz w:val="24"/>
                <w:highlight w:val="none"/>
              </w:rPr>
            </w:pPr>
            <w:r>
              <w:rPr>
                <w:rFonts w:hint="eastAsia" w:ascii="仿宋" w:hAnsi="仿宋" w:eastAsia="仿宋"/>
                <w:b/>
                <w:bCs/>
                <w:sz w:val="24"/>
                <w:highlight w:val="none"/>
              </w:rPr>
              <w:t>人员</w:t>
            </w:r>
          </w:p>
        </w:tc>
        <w:tc>
          <w:tcPr>
            <w:tcW w:w="1512" w:type="dxa"/>
            <w:gridSpan w:val="2"/>
            <w:tcBorders>
              <w:top w:val="single" w:color="auto" w:sz="12" w:space="0"/>
              <w:left w:val="single" w:color="auto" w:sz="12" w:space="0"/>
              <w:right w:val="single" w:color="auto" w:sz="12" w:space="0"/>
            </w:tcBorders>
            <w:shd w:val="clear" w:color="auto" w:fill="BDD6EE"/>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b/>
                <w:bCs/>
                <w:sz w:val="24"/>
                <w:highlight w:val="none"/>
              </w:rPr>
            </w:pPr>
            <w:r>
              <w:rPr>
                <w:rFonts w:hint="eastAsia" w:ascii="仿宋" w:hAnsi="仿宋" w:eastAsia="仿宋"/>
                <w:b/>
                <w:bCs/>
                <w:sz w:val="24"/>
                <w:highlight w:val="none"/>
              </w:rPr>
              <w:t>国家</w:t>
            </w:r>
          </w:p>
        </w:tc>
        <w:tc>
          <w:tcPr>
            <w:tcW w:w="1513" w:type="dxa"/>
            <w:gridSpan w:val="2"/>
            <w:tcBorders>
              <w:top w:val="single" w:color="auto" w:sz="12" w:space="0"/>
              <w:left w:val="single" w:color="auto" w:sz="12" w:space="0"/>
              <w:right w:val="single" w:color="auto" w:sz="12" w:space="0"/>
            </w:tcBorders>
            <w:shd w:val="clear" w:color="auto" w:fill="BDD6EE"/>
            <w:noWrap w:val="0"/>
            <w:vAlign w:val="center"/>
          </w:tcPr>
          <w:p>
            <w:pPr>
              <w:pageBreakBefore w:val="0"/>
              <w:kinsoku/>
              <w:wordWrap/>
              <w:overflowPunct/>
              <w:topLinePunct w:val="0"/>
              <w:autoSpaceDE/>
              <w:autoSpaceDN/>
              <w:bidi w:val="0"/>
              <w:spacing w:line="560" w:lineRule="exact"/>
              <w:jc w:val="center"/>
              <w:textAlignment w:val="auto"/>
              <w:rPr>
                <w:rFonts w:hint="eastAsia" w:ascii="仿宋" w:hAnsi="仿宋" w:eastAsia="仿宋"/>
                <w:b/>
                <w:bCs/>
                <w:sz w:val="24"/>
                <w:highlight w:val="none"/>
              </w:rPr>
            </w:pPr>
            <w:r>
              <w:rPr>
                <w:rFonts w:ascii="仿宋" w:hAnsi="仿宋" w:eastAsia="仿宋"/>
                <w:b/>
                <w:bCs/>
                <w:sz w:val="24"/>
                <w:highlight w:val="none"/>
              </w:rPr>
              <w:t>国家部委</w:t>
            </w:r>
          </w:p>
        </w:tc>
        <w:tc>
          <w:tcPr>
            <w:tcW w:w="1513" w:type="dxa"/>
            <w:gridSpan w:val="2"/>
            <w:tcBorders>
              <w:top w:val="single" w:color="auto" w:sz="12" w:space="0"/>
              <w:left w:val="single" w:color="auto" w:sz="12" w:space="0"/>
              <w:right w:val="single" w:color="auto" w:sz="12" w:space="0"/>
            </w:tcBorders>
            <w:shd w:val="clear" w:color="auto" w:fill="BDD6EE"/>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b/>
                <w:bCs/>
                <w:sz w:val="24"/>
                <w:highlight w:val="none"/>
              </w:rPr>
            </w:pPr>
            <w:r>
              <w:rPr>
                <w:rFonts w:ascii="仿宋" w:hAnsi="仿宋" w:eastAsia="仿宋"/>
                <w:b/>
                <w:bCs/>
                <w:sz w:val="24"/>
                <w:highlight w:val="none"/>
              </w:rPr>
              <w:t>省</w:t>
            </w:r>
            <w:r>
              <w:rPr>
                <w:rFonts w:hint="eastAsia" w:ascii="仿宋" w:hAnsi="仿宋" w:eastAsia="仿宋"/>
                <w:b/>
                <w:bCs/>
                <w:sz w:val="24"/>
                <w:highlight w:val="none"/>
              </w:rPr>
              <w:t>（自治区）</w:t>
            </w:r>
          </w:p>
        </w:tc>
        <w:tc>
          <w:tcPr>
            <w:tcW w:w="1513" w:type="dxa"/>
            <w:gridSpan w:val="2"/>
            <w:tcBorders>
              <w:top w:val="single" w:color="auto" w:sz="12" w:space="0"/>
              <w:left w:val="single" w:color="auto" w:sz="12" w:space="0"/>
              <w:right w:val="single" w:color="auto" w:sz="12" w:space="0"/>
            </w:tcBorders>
            <w:shd w:val="clear" w:color="auto" w:fill="BDD6EE"/>
            <w:noWrap w:val="0"/>
            <w:vAlign w:val="center"/>
          </w:tcPr>
          <w:p>
            <w:pPr>
              <w:pageBreakBefore w:val="0"/>
              <w:kinsoku/>
              <w:wordWrap/>
              <w:overflowPunct/>
              <w:topLinePunct w:val="0"/>
              <w:autoSpaceDE/>
              <w:autoSpaceDN/>
              <w:bidi w:val="0"/>
              <w:spacing w:line="560" w:lineRule="exact"/>
              <w:jc w:val="center"/>
              <w:textAlignment w:val="auto"/>
              <w:rPr>
                <w:rFonts w:hint="eastAsia" w:ascii="仿宋" w:hAnsi="仿宋" w:eastAsia="仿宋"/>
                <w:b/>
                <w:bCs/>
                <w:sz w:val="24"/>
                <w:highlight w:val="none"/>
              </w:rPr>
            </w:pPr>
            <w:r>
              <w:rPr>
                <w:rFonts w:ascii="仿宋" w:hAnsi="仿宋" w:eastAsia="仿宋"/>
                <w:b/>
                <w:bCs/>
                <w:sz w:val="24"/>
                <w:highlight w:val="none"/>
              </w:rPr>
              <w:t>厅局</w:t>
            </w:r>
          </w:p>
        </w:tc>
        <w:tc>
          <w:tcPr>
            <w:tcW w:w="1513" w:type="dxa"/>
            <w:gridSpan w:val="2"/>
            <w:tcBorders>
              <w:top w:val="single" w:color="auto" w:sz="12" w:space="0"/>
              <w:left w:val="single" w:color="auto" w:sz="12" w:space="0"/>
            </w:tcBorders>
            <w:shd w:val="clear" w:color="auto" w:fill="BDD6EE"/>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b/>
                <w:bCs/>
                <w:sz w:val="24"/>
                <w:highlight w:val="none"/>
              </w:rPr>
            </w:pPr>
            <w:r>
              <w:rPr>
                <w:rFonts w:hint="eastAsia" w:ascii="仿宋" w:hAnsi="仿宋" w:eastAsia="仿宋"/>
                <w:b/>
                <w:bCs/>
                <w:sz w:val="24"/>
                <w:highlight w:val="none"/>
              </w:rPr>
              <w:t>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661" w:type="dxa"/>
            <w:vMerge w:val="continue"/>
            <w:shd w:val="clear" w:color="auto" w:fill="BDD6EE"/>
            <w:noWrap w:val="0"/>
            <w:vAlign w:val="center"/>
          </w:tcPr>
          <w:p>
            <w:pPr>
              <w:pageBreakBefore w:val="0"/>
              <w:kinsoku/>
              <w:wordWrap/>
              <w:overflowPunct/>
              <w:topLinePunct w:val="0"/>
              <w:autoSpaceDE/>
              <w:autoSpaceDN/>
              <w:bidi w:val="0"/>
              <w:spacing w:line="560" w:lineRule="exact"/>
              <w:jc w:val="center"/>
              <w:textAlignment w:val="auto"/>
              <w:rPr>
                <w:rFonts w:hint="eastAsia" w:ascii="仿宋" w:hAnsi="仿宋" w:eastAsia="仿宋"/>
                <w:b/>
                <w:bCs/>
                <w:sz w:val="24"/>
                <w:highlight w:val="none"/>
              </w:rPr>
            </w:pPr>
          </w:p>
        </w:tc>
        <w:tc>
          <w:tcPr>
            <w:tcW w:w="1005" w:type="dxa"/>
            <w:vMerge w:val="continue"/>
            <w:tcBorders>
              <w:right w:val="single" w:color="auto" w:sz="12" w:space="0"/>
            </w:tcBorders>
            <w:shd w:val="clear" w:color="auto" w:fill="BDD6EE"/>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b/>
                <w:bCs/>
                <w:sz w:val="24"/>
                <w:highlight w:val="none"/>
              </w:rPr>
            </w:pPr>
          </w:p>
        </w:tc>
        <w:tc>
          <w:tcPr>
            <w:tcW w:w="756" w:type="dxa"/>
            <w:tcBorders>
              <w:top w:val="single" w:color="auto" w:sz="4" w:space="0"/>
              <w:left w:val="single" w:color="auto" w:sz="12" w:space="0"/>
            </w:tcBorders>
            <w:shd w:val="clear" w:color="auto" w:fill="BDD6EE"/>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b/>
                <w:bCs/>
                <w:sz w:val="24"/>
                <w:highlight w:val="none"/>
              </w:rPr>
            </w:pPr>
            <w:r>
              <w:rPr>
                <w:rFonts w:hint="eastAsia" w:ascii="仿宋" w:hAnsi="仿宋" w:eastAsia="仿宋"/>
                <w:b/>
                <w:bCs/>
                <w:sz w:val="24"/>
                <w:highlight w:val="none"/>
              </w:rPr>
              <w:t>立项</w:t>
            </w:r>
          </w:p>
        </w:tc>
        <w:tc>
          <w:tcPr>
            <w:tcW w:w="756" w:type="dxa"/>
            <w:tcBorders>
              <w:top w:val="single" w:color="auto" w:sz="4" w:space="0"/>
              <w:right w:val="single" w:color="auto" w:sz="12" w:space="0"/>
            </w:tcBorders>
            <w:shd w:val="clear" w:color="auto" w:fill="BDD6EE"/>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b/>
                <w:bCs/>
                <w:sz w:val="24"/>
                <w:highlight w:val="none"/>
              </w:rPr>
            </w:pPr>
            <w:r>
              <w:rPr>
                <w:rFonts w:hint="eastAsia" w:ascii="仿宋" w:hAnsi="仿宋" w:eastAsia="仿宋"/>
                <w:b/>
                <w:bCs/>
                <w:sz w:val="24"/>
                <w:highlight w:val="none"/>
              </w:rPr>
              <w:t>结项</w:t>
            </w:r>
          </w:p>
        </w:tc>
        <w:tc>
          <w:tcPr>
            <w:tcW w:w="757" w:type="dxa"/>
            <w:tcBorders>
              <w:top w:val="single" w:color="auto" w:sz="4" w:space="0"/>
              <w:left w:val="single" w:color="auto" w:sz="12" w:space="0"/>
            </w:tcBorders>
            <w:shd w:val="clear" w:color="auto" w:fill="BDD6EE"/>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b/>
                <w:bCs/>
                <w:sz w:val="24"/>
                <w:highlight w:val="none"/>
              </w:rPr>
            </w:pPr>
            <w:r>
              <w:rPr>
                <w:rFonts w:hint="eastAsia" w:ascii="仿宋" w:hAnsi="仿宋" w:eastAsia="仿宋"/>
                <w:b/>
                <w:bCs/>
                <w:sz w:val="24"/>
                <w:highlight w:val="none"/>
              </w:rPr>
              <w:t>立项</w:t>
            </w:r>
          </w:p>
        </w:tc>
        <w:tc>
          <w:tcPr>
            <w:tcW w:w="756" w:type="dxa"/>
            <w:tcBorders>
              <w:top w:val="single" w:color="auto" w:sz="4" w:space="0"/>
              <w:right w:val="single" w:color="auto" w:sz="12" w:space="0"/>
            </w:tcBorders>
            <w:shd w:val="clear" w:color="auto" w:fill="BDD6EE"/>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b/>
                <w:bCs/>
                <w:sz w:val="24"/>
                <w:highlight w:val="none"/>
              </w:rPr>
            </w:pPr>
            <w:r>
              <w:rPr>
                <w:rFonts w:hint="eastAsia" w:ascii="仿宋" w:hAnsi="仿宋" w:eastAsia="仿宋"/>
                <w:b/>
                <w:bCs/>
                <w:sz w:val="24"/>
                <w:highlight w:val="none"/>
              </w:rPr>
              <w:t>结项</w:t>
            </w:r>
          </w:p>
        </w:tc>
        <w:tc>
          <w:tcPr>
            <w:tcW w:w="757" w:type="dxa"/>
            <w:tcBorders>
              <w:top w:val="single" w:color="auto" w:sz="4" w:space="0"/>
              <w:left w:val="single" w:color="auto" w:sz="12" w:space="0"/>
            </w:tcBorders>
            <w:shd w:val="clear" w:color="auto" w:fill="BDD6EE"/>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b/>
                <w:bCs/>
                <w:sz w:val="24"/>
                <w:highlight w:val="none"/>
              </w:rPr>
            </w:pPr>
            <w:r>
              <w:rPr>
                <w:rFonts w:hint="eastAsia" w:ascii="仿宋" w:hAnsi="仿宋" w:eastAsia="仿宋"/>
                <w:b/>
                <w:bCs/>
                <w:sz w:val="24"/>
                <w:highlight w:val="none"/>
              </w:rPr>
              <w:t>立项</w:t>
            </w:r>
          </w:p>
        </w:tc>
        <w:tc>
          <w:tcPr>
            <w:tcW w:w="756" w:type="dxa"/>
            <w:tcBorders>
              <w:top w:val="single" w:color="auto" w:sz="4" w:space="0"/>
              <w:right w:val="single" w:color="auto" w:sz="12" w:space="0"/>
            </w:tcBorders>
            <w:shd w:val="clear" w:color="auto" w:fill="BDD6EE"/>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b/>
                <w:bCs/>
                <w:sz w:val="24"/>
                <w:highlight w:val="none"/>
              </w:rPr>
            </w:pPr>
            <w:r>
              <w:rPr>
                <w:rFonts w:hint="eastAsia" w:ascii="仿宋" w:hAnsi="仿宋" w:eastAsia="仿宋"/>
                <w:b/>
                <w:bCs/>
                <w:sz w:val="24"/>
                <w:highlight w:val="none"/>
              </w:rPr>
              <w:t>结项</w:t>
            </w:r>
          </w:p>
        </w:tc>
        <w:tc>
          <w:tcPr>
            <w:tcW w:w="756" w:type="dxa"/>
            <w:tcBorders>
              <w:top w:val="single" w:color="auto" w:sz="4" w:space="0"/>
              <w:left w:val="single" w:color="auto" w:sz="12" w:space="0"/>
            </w:tcBorders>
            <w:shd w:val="clear" w:color="auto" w:fill="BDD6EE"/>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b/>
                <w:bCs/>
                <w:sz w:val="24"/>
                <w:highlight w:val="none"/>
              </w:rPr>
            </w:pPr>
            <w:r>
              <w:rPr>
                <w:rFonts w:hint="eastAsia" w:ascii="仿宋" w:hAnsi="仿宋" w:eastAsia="仿宋"/>
                <w:b/>
                <w:bCs/>
                <w:sz w:val="24"/>
                <w:highlight w:val="none"/>
              </w:rPr>
              <w:t>立项</w:t>
            </w:r>
          </w:p>
        </w:tc>
        <w:tc>
          <w:tcPr>
            <w:tcW w:w="757" w:type="dxa"/>
            <w:tcBorders>
              <w:top w:val="single" w:color="auto" w:sz="4" w:space="0"/>
              <w:right w:val="single" w:color="auto" w:sz="12" w:space="0"/>
            </w:tcBorders>
            <w:shd w:val="clear" w:color="auto" w:fill="BDD6EE"/>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b/>
                <w:bCs/>
                <w:sz w:val="24"/>
                <w:highlight w:val="none"/>
              </w:rPr>
            </w:pPr>
            <w:r>
              <w:rPr>
                <w:rFonts w:hint="eastAsia" w:ascii="仿宋" w:hAnsi="仿宋" w:eastAsia="仿宋"/>
                <w:b/>
                <w:bCs/>
                <w:sz w:val="24"/>
                <w:highlight w:val="none"/>
              </w:rPr>
              <w:t>结项</w:t>
            </w:r>
          </w:p>
        </w:tc>
        <w:tc>
          <w:tcPr>
            <w:tcW w:w="756" w:type="dxa"/>
            <w:tcBorders>
              <w:top w:val="single" w:color="auto" w:sz="4" w:space="0"/>
              <w:left w:val="single" w:color="auto" w:sz="12" w:space="0"/>
            </w:tcBorders>
            <w:shd w:val="clear" w:color="auto" w:fill="BDD6EE"/>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b/>
                <w:bCs/>
                <w:sz w:val="24"/>
                <w:highlight w:val="none"/>
              </w:rPr>
            </w:pPr>
            <w:r>
              <w:rPr>
                <w:rFonts w:hint="eastAsia" w:ascii="仿宋" w:hAnsi="仿宋" w:eastAsia="仿宋"/>
                <w:b/>
                <w:bCs/>
                <w:sz w:val="24"/>
                <w:highlight w:val="none"/>
              </w:rPr>
              <w:t>立项</w:t>
            </w:r>
          </w:p>
        </w:tc>
        <w:tc>
          <w:tcPr>
            <w:tcW w:w="757" w:type="dxa"/>
            <w:tcBorders>
              <w:top w:val="single" w:color="auto" w:sz="4" w:space="0"/>
            </w:tcBorders>
            <w:shd w:val="clear" w:color="auto" w:fill="BDD6EE"/>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b/>
                <w:bCs/>
                <w:sz w:val="24"/>
                <w:highlight w:val="none"/>
              </w:rPr>
            </w:pPr>
            <w:r>
              <w:rPr>
                <w:rFonts w:hint="eastAsia" w:ascii="仿宋" w:hAnsi="仿宋" w:eastAsia="仿宋"/>
                <w:b/>
                <w:bCs/>
                <w:sz w:val="24"/>
                <w:highlight w:val="none"/>
              </w:rPr>
              <w:t>结项</w:t>
            </w:r>
          </w:p>
        </w:tc>
      </w:tr>
      <w:bookmarkEnd w:id="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661" w:type="dxa"/>
            <w:tcBorders>
              <w:top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hint="eastAsia" w:ascii="仿宋" w:hAnsi="仿宋" w:eastAsia="仿宋"/>
                <w:sz w:val="24"/>
                <w:highlight w:val="none"/>
              </w:rPr>
              <w:t>重大项目</w:t>
            </w:r>
          </w:p>
        </w:tc>
        <w:tc>
          <w:tcPr>
            <w:tcW w:w="1005" w:type="dxa"/>
            <w:tcBorders>
              <w:top w:val="single" w:color="auto" w:sz="12" w:space="0"/>
              <w:right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ascii="仿宋" w:hAnsi="仿宋" w:eastAsia="仿宋"/>
                <w:sz w:val="24"/>
                <w:highlight w:val="none"/>
              </w:rPr>
              <w:t>负责人</w:t>
            </w:r>
          </w:p>
        </w:tc>
        <w:tc>
          <w:tcPr>
            <w:tcW w:w="756" w:type="dxa"/>
            <w:tcBorders>
              <w:top w:val="single" w:color="auto" w:sz="12" w:space="0"/>
              <w:left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ascii="仿宋" w:hAnsi="仿宋" w:eastAsia="仿宋"/>
                <w:sz w:val="24"/>
                <w:highlight w:val="none"/>
              </w:rPr>
              <w:t>20</w:t>
            </w:r>
          </w:p>
        </w:tc>
        <w:tc>
          <w:tcPr>
            <w:tcW w:w="756" w:type="dxa"/>
            <w:tcBorders>
              <w:top w:val="single" w:color="auto" w:sz="12" w:space="0"/>
              <w:right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hint="eastAsia" w:ascii="仿宋" w:hAnsi="仿宋" w:eastAsia="仿宋"/>
                <w:sz w:val="24"/>
                <w:highlight w:val="none"/>
              </w:rPr>
              <w:t>2</w:t>
            </w:r>
            <w:r>
              <w:rPr>
                <w:rFonts w:ascii="仿宋" w:hAnsi="仿宋" w:eastAsia="仿宋"/>
                <w:sz w:val="24"/>
                <w:highlight w:val="none"/>
              </w:rPr>
              <w:t>0</w:t>
            </w:r>
          </w:p>
        </w:tc>
        <w:tc>
          <w:tcPr>
            <w:tcW w:w="757" w:type="dxa"/>
            <w:tcBorders>
              <w:top w:val="single" w:color="auto" w:sz="12" w:space="0"/>
              <w:left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ascii="仿宋" w:hAnsi="仿宋" w:eastAsia="仿宋"/>
                <w:sz w:val="24"/>
                <w:highlight w:val="none"/>
              </w:rPr>
              <w:t>12</w:t>
            </w:r>
          </w:p>
        </w:tc>
        <w:tc>
          <w:tcPr>
            <w:tcW w:w="756" w:type="dxa"/>
            <w:tcBorders>
              <w:top w:val="single" w:color="auto" w:sz="12" w:space="0"/>
              <w:right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hint="eastAsia" w:ascii="仿宋" w:hAnsi="仿宋" w:eastAsia="仿宋"/>
                <w:sz w:val="24"/>
                <w:highlight w:val="none"/>
              </w:rPr>
              <w:t>1</w:t>
            </w:r>
            <w:r>
              <w:rPr>
                <w:rFonts w:ascii="仿宋" w:hAnsi="仿宋" w:eastAsia="仿宋"/>
                <w:sz w:val="24"/>
                <w:highlight w:val="none"/>
              </w:rPr>
              <w:t>2</w:t>
            </w:r>
          </w:p>
        </w:tc>
        <w:tc>
          <w:tcPr>
            <w:tcW w:w="757" w:type="dxa"/>
            <w:tcBorders>
              <w:top w:val="single" w:color="auto" w:sz="12" w:space="0"/>
              <w:left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ascii="仿宋" w:hAnsi="仿宋" w:eastAsia="仿宋"/>
                <w:sz w:val="24"/>
                <w:highlight w:val="none"/>
              </w:rPr>
              <w:t>10</w:t>
            </w:r>
          </w:p>
        </w:tc>
        <w:tc>
          <w:tcPr>
            <w:tcW w:w="756" w:type="dxa"/>
            <w:tcBorders>
              <w:top w:val="single" w:color="auto" w:sz="12" w:space="0"/>
              <w:right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hint="eastAsia" w:ascii="仿宋" w:hAnsi="仿宋" w:eastAsia="仿宋"/>
                <w:sz w:val="24"/>
                <w:highlight w:val="none"/>
              </w:rPr>
              <w:t>1</w:t>
            </w:r>
            <w:r>
              <w:rPr>
                <w:rFonts w:ascii="仿宋" w:hAnsi="仿宋" w:eastAsia="仿宋"/>
                <w:sz w:val="24"/>
                <w:highlight w:val="none"/>
              </w:rPr>
              <w:t>0</w:t>
            </w:r>
          </w:p>
        </w:tc>
        <w:tc>
          <w:tcPr>
            <w:tcW w:w="756" w:type="dxa"/>
            <w:tcBorders>
              <w:top w:val="single" w:color="auto" w:sz="12" w:space="0"/>
              <w:left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ascii="仿宋" w:hAnsi="仿宋" w:eastAsia="仿宋"/>
                <w:sz w:val="24"/>
                <w:highlight w:val="none"/>
              </w:rPr>
              <w:t>8</w:t>
            </w:r>
          </w:p>
        </w:tc>
        <w:tc>
          <w:tcPr>
            <w:tcW w:w="757" w:type="dxa"/>
            <w:tcBorders>
              <w:top w:val="single" w:color="auto" w:sz="12" w:space="0"/>
              <w:right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hint="eastAsia" w:ascii="仿宋" w:hAnsi="仿宋" w:eastAsia="仿宋"/>
                <w:sz w:val="24"/>
                <w:highlight w:val="none"/>
              </w:rPr>
              <w:t>8</w:t>
            </w:r>
          </w:p>
        </w:tc>
        <w:tc>
          <w:tcPr>
            <w:tcW w:w="756" w:type="dxa"/>
            <w:tcBorders>
              <w:top w:val="single" w:color="auto" w:sz="12" w:space="0"/>
              <w:left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ascii="仿宋" w:hAnsi="仿宋" w:eastAsia="仿宋"/>
                <w:sz w:val="24"/>
                <w:highlight w:val="none"/>
              </w:rPr>
              <w:t>6</w:t>
            </w:r>
          </w:p>
        </w:tc>
        <w:tc>
          <w:tcPr>
            <w:tcW w:w="757" w:type="dxa"/>
            <w:tcBorders>
              <w:top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hint="eastAsia" w:ascii="仿宋" w:hAnsi="仿宋" w:eastAsia="仿宋"/>
                <w:sz w:val="24"/>
                <w:highlight w:val="none"/>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1661" w:type="dxa"/>
            <w:tcBorders>
              <w:top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hint="eastAsia" w:ascii="仿宋" w:hAnsi="仿宋" w:eastAsia="仿宋"/>
                <w:sz w:val="24"/>
                <w:highlight w:val="none"/>
              </w:rPr>
              <w:t>重点项目</w:t>
            </w:r>
          </w:p>
        </w:tc>
        <w:tc>
          <w:tcPr>
            <w:tcW w:w="1005" w:type="dxa"/>
            <w:tcBorders>
              <w:top w:val="single" w:color="auto" w:sz="12" w:space="0"/>
              <w:right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ascii="仿宋" w:hAnsi="仿宋" w:eastAsia="仿宋"/>
                <w:sz w:val="24"/>
                <w:highlight w:val="none"/>
              </w:rPr>
              <w:t>负责人</w:t>
            </w:r>
          </w:p>
        </w:tc>
        <w:tc>
          <w:tcPr>
            <w:tcW w:w="756" w:type="dxa"/>
            <w:tcBorders>
              <w:top w:val="single" w:color="auto" w:sz="12" w:space="0"/>
              <w:left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ascii="仿宋" w:hAnsi="仿宋" w:eastAsia="仿宋"/>
                <w:sz w:val="24"/>
                <w:highlight w:val="none"/>
              </w:rPr>
              <w:t>14</w:t>
            </w:r>
          </w:p>
        </w:tc>
        <w:tc>
          <w:tcPr>
            <w:tcW w:w="756" w:type="dxa"/>
            <w:tcBorders>
              <w:top w:val="single" w:color="auto" w:sz="12" w:space="0"/>
              <w:right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hint="eastAsia" w:ascii="仿宋" w:hAnsi="仿宋" w:eastAsia="仿宋"/>
                <w:sz w:val="24"/>
                <w:highlight w:val="none"/>
              </w:rPr>
              <w:t>1</w:t>
            </w:r>
            <w:r>
              <w:rPr>
                <w:rFonts w:ascii="仿宋" w:hAnsi="仿宋" w:eastAsia="仿宋"/>
                <w:sz w:val="24"/>
                <w:highlight w:val="none"/>
              </w:rPr>
              <w:t>4</w:t>
            </w:r>
          </w:p>
        </w:tc>
        <w:tc>
          <w:tcPr>
            <w:tcW w:w="757" w:type="dxa"/>
            <w:tcBorders>
              <w:top w:val="single" w:color="auto" w:sz="12" w:space="0"/>
              <w:left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ascii="仿宋" w:hAnsi="仿宋" w:eastAsia="仿宋"/>
                <w:sz w:val="24"/>
                <w:highlight w:val="none"/>
              </w:rPr>
              <w:t>10</w:t>
            </w:r>
          </w:p>
        </w:tc>
        <w:tc>
          <w:tcPr>
            <w:tcW w:w="756" w:type="dxa"/>
            <w:tcBorders>
              <w:top w:val="single" w:color="auto" w:sz="12" w:space="0"/>
              <w:right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hint="eastAsia" w:ascii="仿宋" w:hAnsi="仿宋" w:eastAsia="仿宋"/>
                <w:sz w:val="24"/>
                <w:highlight w:val="none"/>
              </w:rPr>
              <w:t>1</w:t>
            </w:r>
            <w:r>
              <w:rPr>
                <w:rFonts w:ascii="仿宋" w:hAnsi="仿宋" w:eastAsia="仿宋"/>
                <w:sz w:val="24"/>
                <w:highlight w:val="none"/>
              </w:rPr>
              <w:t>0</w:t>
            </w:r>
          </w:p>
        </w:tc>
        <w:tc>
          <w:tcPr>
            <w:tcW w:w="757" w:type="dxa"/>
            <w:tcBorders>
              <w:top w:val="single" w:color="auto" w:sz="12" w:space="0"/>
              <w:left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ascii="仿宋" w:hAnsi="仿宋" w:eastAsia="仿宋"/>
                <w:sz w:val="24"/>
                <w:highlight w:val="none"/>
              </w:rPr>
              <w:t>8</w:t>
            </w:r>
          </w:p>
        </w:tc>
        <w:tc>
          <w:tcPr>
            <w:tcW w:w="756" w:type="dxa"/>
            <w:tcBorders>
              <w:top w:val="single" w:color="auto" w:sz="12" w:space="0"/>
              <w:right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hint="eastAsia" w:ascii="仿宋" w:hAnsi="仿宋" w:eastAsia="仿宋"/>
                <w:sz w:val="24"/>
                <w:highlight w:val="none"/>
              </w:rPr>
              <w:t>8</w:t>
            </w:r>
          </w:p>
        </w:tc>
        <w:tc>
          <w:tcPr>
            <w:tcW w:w="756" w:type="dxa"/>
            <w:tcBorders>
              <w:top w:val="single" w:color="auto" w:sz="12" w:space="0"/>
              <w:left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ascii="仿宋" w:hAnsi="仿宋" w:eastAsia="仿宋"/>
                <w:sz w:val="24"/>
                <w:highlight w:val="none"/>
              </w:rPr>
              <w:t>6</w:t>
            </w:r>
          </w:p>
        </w:tc>
        <w:tc>
          <w:tcPr>
            <w:tcW w:w="757" w:type="dxa"/>
            <w:tcBorders>
              <w:top w:val="single" w:color="auto" w:sz="12" w:space="0"/>
              <w:right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hint="eastAsia" w:ascii="仿宋" w:hAnsi="仿宋" w:eastAsia="仿宋"/>
                <w:sz w:val="24"/>
                <w:highlight w:val="none"/>
              </w:rPr>
              <w:t>6</w:t>
            </w:r>
          </w:p>
        </w:tc>
        <w:tc>
          <w:tcPr>
            <w:tcW w:w="756" w:type="dxa"/>
            <w:tcBorders>
              <w:top w:val="single" w:color="auto" w:sz="12" w:space="0"/>
              <w:left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ascii="仿宋" w:hAnsi="仿宋" w:eastAsia="仿宋"/>
                <w:sz w:val="24"/>
                <w:highlight w:val="none"/>
              </w:rPr>
              <w:t>4</w:t>
            </w:r>
          </w:p>
        </w:tc>
        <w:tc>
          <w:tcPr>
            <w:tcW w:w="757" w:type="dxa"/>
            <w:tcBorders>
              <w:top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hint="eastAsia" w:ascii="仿宋" w:hAnsi="仿宋" w:eastAsia="仿宋"/>
                <w:sz w:val="24"/>
                <w:highlight w:val="none"/>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4" w:hRule="atLeast"/>
          <w:jc w:val="center"/>
        </w:trPr>
        <w:tc>
          <w:tcPr>
            <w:tcW w:w="1661" w:type="dxa"/>
            <w:tcBorders>
              <w:top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hint="eastAsia" w:ascii="仿宋" w:hAnsi="仿宋" w:eastAsia="仿宋"/>
                <w:sz w:val="24"/>
                <w:highlight w:val="none"/>
              </w:rPr>
              <w:t>一般项目</w:t>
            </w:r>
          </w:p>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hint="eastAsia" w:ascii="仿宋" w:hAnsi="仿宋" w:eastAsia="仿宋"/>
                <w:sz w:val="24"/>
                <w:highlight w:val="none"/>
              </w:rPr>
              <w:t>后期资助项目</w:t>
            </w:r>
          </w:p>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hint="eastAsia" w:ascii="仿宋" w:hAnsi="仿宋" w:eastAsia="仿宋"/>
                <w:sz w:val="24"/>
                <w:highlight w:val="none"/>
              </w:rPr>
              <w:t>专项项目</w:t>
            </w:r>
          </w:p>
          <w:p>
            <w:pPr>
              <w:pageBreakBefore w:val="0"/>
              <w:kinsoku/>
              <w:wordWrap/>
              <w:overflowPunct/>
              <w:topLinePunct w:val="0"/>
              <w:autoSpaceDE/>
              <w:autoSpaceDN/>
              <w:bidi w:val="0"/>
              <w:spacing w:line="560" w:lineRule="exact"/>
              <w:jc w:val="center"/>
              <w:textAlignment w:val="auto"/>
              <w:rPr>
                <w:rFonts w:hint="eastAsia" w:ascii="仿宋" w:hAnsi="仿宋" w:eastAsia="仿宋"/>
                <w:sz w:val="24"/>
                <w:highlight w:val="none"/>
              </w:rPr>
            </w:pPr>
            <w:r>
              <w:rPr>
                <w:rFonts w:hint="eastAsia" w:ascii="仿宋" w:hAnsi="仿宋" w:eastAsia="仿宋"/>
                <w:sz w:val="24"/>
                <w:highlight w:val="none"/>
              </w:rPr>
              <w:t>青年项目</w:t>
            </w:r>
          </w:p>
        </w:tc>
        <w:tc>
          <w:tcPr>
            <w:tcW w:w="1005" w:type="dxa"/>
            <w:tcBorders>
              <w:top w:val="single" w:color="auto" w:sz="12" w:space="0"/>
              <w:right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ascii="仿宋" w:hAnsi="仿宋" w:eastAsia="仿宋"/>
                <w:sz w:val="24"/>
                <w:highlight w:val="none"/>
              </w:rPr>
              <w:t>负责人</w:t>
            </w:r>
          </w:p>
        </w:tc>
        <w:tc>
          <w:tcPr>
            <w:tcW w:w="756" w:type="dxa"/>
            <w:tcBorders>
              <w:top w:val="single" w:color="auto" w:sz="12" w:space="0"/>
              <w:left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ascii="仿宋" w:hAnsi="仿宋" w:eastAsia="仿宋"/>
                <w:sz w:val="24"/>
                <w:highlight w:val="none"/>
              </w:rPr>
              <w:t>12</w:t>
            </w:r>
          </w:p>
        </w:tc>
        <w:tc>
          <w:tcPr>
            <w:tcW w:w="756" w:type="dxa"/>
            <w:tcBorders>
              <w:top w:val="single" w:color="auto" w:sz="12" w:space="0"/>
              <w:right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hint="eastAsia" w:ascii="仿宋" w:hAnsi="仿宋" w:eastAsia="仿宋"/>
                <w:sz w:val="24"/>
                <w:highlight w:val="none"/>
              </w:rPr>
              <w:t>1</w:t>
            </w:r>
            <w:r>
              <w:rPr>
                <w:rFonts w:ascii="仿宋" w:hAnsi="仿宋" w:eastAsia="仿宋"/>
                <w:sz w:val="24"/>
                <w:highlight w:val="none"/>
              </w:rPr>
              <w:t>2</w:t>
            </w:r>
          </w:p>
        </w:tc>
        <w:tc>
          <w:tcPr>
            <w:tcW w:w="757" w:type="dxa"/>
            <w:tcBorders>
              <w:top w:val="single" w:color="auto" w:sz="12" w:space="0"/>
              <w:left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ascii="仿宋" w:hAnsi="仿宋" w:eastAsia="仿宋"/>
                <w:sz w:val="24"/>
                <w:highlight w:val="none"/>
              </w:rPr>
              <w:t>8</w:t>
            </w:r>
          </w:p>
        </w:tc>
        <w:tc>
          <w:tcPr>
            <w:tcW w:w="756" w:type="dxa"/>
            <w:tcBorders>
              <w:top w:val="single" w:color="auto" w:sz="12" w:space="0"/>
              <w:right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hint="eastAsia" w:ascii="仿宋" w:hAnsi="仿宋" w:eastAsia="仿宋"/>
                <w:sz w:val="24"/>
                <w:highlight w:val="none"/>
              </w:rPr>
              <w:t>8</w:t>
            </w:r>
          </w:p>
        </w:tc>
        <w:tc>
          <w:tcPr>
            <w:tcW w:w="757" w:type="dxa"/>
            <w:tcBorders>
              <w:top w:val="single" w:color="auto" w:sz="12" w:space="0"/>
              <w:left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ascii="仿宋" w:hAnsi="仿宋" w:eastAsia="仿宋"/>
                <w:sz w:val="24"/>
                <w:highlight w:val="none"/>
              </w:rPr>
              <w:t>6</w:t>
            </w:r>
          </w:p>
        </w:tc>
        <w:tc>
          <w:tcPr>
            <w:tcW w:w="756" w:type="dxa"/>
            <w:tcBorders>
              <w:top w:val="single" w:color="auto" w:sz="12" w:space="0"/>
              <w:right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hint="eastAsia" w:ascii="仿宋" w:hAnsi="仿宋" w:eastAsia="仿宋"/>
                <w:sz w:val="24"/>
                <w:highlight w:val="none"/>
              </w:rPr>
              <w:t>6</w:t>
            </w:r>
          </w:p>
        </w:tc>
        <w:tc>
          <w:tcPr>
            <w:tcW w:w="756" w:type="dxa"/>
            <w:tcBorders>
              <w:top w:val="single" w:color="auto" w:sz="12" w:space="0"/>
              <w:left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ascii="仿宋" w:hAnsi="仿宋" w:eastAsia="仿宋"/>
                <w:sz w:val="24"/>
                <w:highlight w:val="none"/>
              </w:rPr>
              <w:t>4</w:t>
            </w:r>
          </w:p>
        </w:tc>
        <w:tc>
          <w:tcPr>
            <w:tcW w:w="757" w:type="dxa"/>
            <w:tcBorders>
              <w:top w:val="single" w:color="auto" w:sz="12" w:space="0"/>
              <w:right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hint="eastAsia" w:ascii="仿宋" w:hAnsi="仿宋" w:eastAsia="仿宋"/>
                <w:sz w:val="24"/>
                <w:highlight w:val="none"/>
              </w:rPr>
              <w:t>4</w:t>
            </w:r>
          </w:p>
        </w:tc>
        <w:tc>
          <w:tcPr>
            <w:tcW w:w="756" w:type="dxa"/>
            <w:tcBorders>
              <w:top w:val="single" w:color="auto" w:sz="12" w:space="0"/>
              <w:left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ascii="仿宋" w:hAnsi="仿宋" w:eastAsia="仿宋"/>
                <w:sz w:val="24"/>
                <w:highlight w:val="none"/>
              </w:rPr>
              <w:t>3</w:t>
            </w:r>
          </w:p>
        </w:tc>
        <w:tc>
          <w:tcPr>
            <w:tcW w:w="757" w:type="dxa"/>
            <w:tcBorders>
              <w:top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hint="eastAsia" w:ascii="仿宋" w:hAnsi="仿宋" w:eastAsia="仿宋"/>
                <w:sz w:val="24"/>
                <w:highlight w:val="none"/>
              </w:rPr>
              <w:t>3</w:t>
            </w:r>
          </w:p>
        </w:tc>
      </w:tr>
    </w:tbl>
    <w:p>
      <w:pPr>
        <w:pageBreakBefore w:val="0"/>
        <w:kinsoku/>
        <w:wordWrap/>
        <w:overflowPunct/>
        <w:topLinePunct w:val="0"/>
        <w:autoSpaceDE/>
        <w:autoSpaceDN/>
        <w:bidi w:val="0"/>
        <w:spacing w:line="560" w:lineRule="exact"/>
        <w:ind w:firstLine="480" w:firstLineChars="200"/>
        <w:textAlignment w:val="auto"/>
        <w:rPr>
          <w:rFonts w:ascii="仿宋" w:hAnsi="仿宋" w:eastAsia="仿宋"/>
          <w:sz w:val="24"/>
          <w:highlight w:val="none"/>
        </w:rPr>
      </w:pPr>
      <w:r>
        <w:rPr>
          <w:rFonts w:hint="eastAsia" w:ascii="仿宋" w:hAnsi="仿宋" w:eastAsia="仿宋"/>
          <w:sz w:val="24"/>
          <w:highlight w:val="none"/>
        </w:rPr>
        <w:t>注：纵向项目的独立子项目，按相应项目负责人分值的</w:t>
      </w:r>
      <w:r>
        <w:rPr>
          <w:rFonts w:ascii="仿宋" w:hAnsi="仿宋" w:eastAsia="仿宋"/>
          <w:sz w:val="24"/>
          <w:highlight w:val="none"/>
        </w:rPr>
        <w:t>60%</w:t>
      </w:r>
      <w:r>
        <w:rPr>
          <w:rFonts w:hint="eastAsia" w:ascii="仿宋" w:hAnsi="仿宋" w:eastAsia="仿宋"/>
          <w:sz w:val="24"/>
          <w:highlight w:val="none"/>
        </w:rPr>
        <w:t>计取，以项目批准单位子项目立项书为依据。项目成员（不包括负责人）赋分：国家项目按前5名赋分，其他项目按前3名赋分，成员一按5</w:t>
      </w:r>
      <w:r>
        <w:rPr>
          <w:rFonts w:ascii="仿宋" w:hAnsi="仿宋" w:eastAsia="仿宋"/>
          <w:sz w:val="24"/>
          <w:highlight w:val="none"/>
        </w:rPr>
        <w:t>0%</w:t>
      </w:r>
      <w:r>
        <w:rPr>
          <w:rFonts w:hint="eastAsia" w:ascii="仿宋" w:hAnsi="仿宋" w:eastAsia="仿宋"/>
          <w:sz w:val="24"/>
          <w:highlight w:val="none"/>
        </w:rPr>
        <w:t>赋分，成员二、成员三按</w:t>
      </w:r>
      <w:r>
        <w:rPr>
          <w:rFonts w:ascii="仿宋" w:hAnsi="仿宋" w:eastAsia="仿宋"/>
          <w:sz w:val="24"/>
          <w:highlight w:val="none"/>
        </w:rPr>
        <w:t>40%</w:t>
      </w:r>
      <w:r>
        <w:rPr>
          <w:rFonts w:hint="eastAsia" w:ascii="仿宋" w:hAnsi="仿宋" w:eastAsia="仿宋"/>
          <w:sz w:val="24"/>
          <w:highlight w:val="none"/>
        </w:rPr>
        <w:t>赋分，成员四、成员五按</w:t>
      </w:r>
      <w:r>
        <w:rPr>
          <w:rFonts w:ascii="仿宋" w:hAnsi="仿宋" w:eastAsia="仿宋"/>
          <w:sz w:val="24"/>
          <w:highlight w:val="none"/>
        </w:rPr>
        <w:t>30%</w:t>
      </w:r>
      <w:r>
        <w:rPr>
          <w:rFonts w:hint="eastAsia" w:ascii="仿宋" w:hAnsi="仿宋" w:eastAsia="仿宋"/>
          <w:sz w:val="24"/>
          <w:highlight w:val="none"/>
        </w:rPr>
        <w:t>赋分。</w:t>
      </w:r>
    </w:p>
    <w:p>
      <w:pPr>
        <w:pageBreakBefore w:val="0"/>
        <w:widowControl/>
        <w:kinsoku/>
        <w:wordWrap/>
        <w:overflowPunct/>
        <w:topLinePunct w:val="0"/>
        <w:autoSpaceDE/>
        <w:autoSpaceDN/>
        <w:bidi w:val="0"/>
        <w:spacing w:line="560" w:lineRule="exact"/>
        <w:ind w:firstLine="320" w:firstLineChars="100"/>
        <w:jc w:val="left"/>
        <w:textAlignment w:val="auto"/>
        <w:rPr>
          <w:rFonts w:ascii="仿宋" w:hAnsi="仿宋" w:eastAsia="仿宋" w:cs="宋体"/>
          <w:bCs/>
          <w:kern w:val="0"/>
          <w:sz w:val="32"/>
          <w:szCs w:val="32"/>
          <w:highlight w:val="none"/>
        </w:rPr>
      </w:pPr>
      <w:r>
        <w:rPr>
          <w:rFonts w:hint="eastAsia" w:ascii="仿宋" w:hAnsi="仿宋" w:eastAsia="仿宋" w:cs="宋体"/>
          <w:bCs/>
          <w:kern w:val="0"/>
          <w:sz w:val="32"/>
          <w:szCs w:val="32"/>
          <w:highlight w:val="none"/>
          <w:lang w:eastAsia="zh-CN"/>
        </w:rPr>
        <w:t>（</w:t>
      </w:r>
      <w:r>
        <w:rPr>
          <w:rFonts w:hint="eastAsia" w:ascii="仿宋" w:hAnsi="仿宋" w:eastAsia="仿宋" w:cs="宋体"/>
          <w:bCs/>
          <w:kern w:val="0"/>
          <w:sz w:val="32"/>
          <w:szCs w:val="32"/>
          <w:highlight w:val="none"/>
          <w:lang w:val="en-US" w:eastAsia="zh-CN"/>
        </w:rPr>
        <w:t>2</w:t>
      </w:r>
      <w:r>
        <w:rPr>
          <w:rFonts w:hint="eastAsia" w:ascii="仿宋" w:hAnsi="仿宋" w:eastAsia="仿宋" w:cs="宋体"/>
          <w:bCs/>
          <w:kern w:val="0"/>
          <w:sz w:val="32"/>
          <w:szCs w:val="32"/>
          <w:highlight w:val="none"/>
          <w:lang w:eastAsia="zh-CN"/>
        </w:rPr>
        <w:t>）</w:t>
      </w:r>
      <w:r>
        <w:rPr>
          <w:rFonts w:hint="eastAsia" w:ascii="仿宋" w:hAnsi="仿宋" w:eastAsia="仿宋" w:cs="宋体"/>
          <w:bCs/>
          <w:kern w:val="0"/>
          <w:sz w:val="32"/>
          <w:szCs w:val="32"/>
          <w:highlight w:val="none"/>
        </w:rPr>
        <w:t>横向项目分类和分值</w:t>
      </w:r>
    </w:p>
    <w:tbl>
      <w:tblPr>
        <w:tblStyle w:val="4"/>
        <w:tblW w:w="73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19"/>
        <w:gridCol w:w="3762"/>
        <w:gridCol w:w="10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jc w:val="center"/>
        </w:trPr>
        <w:tc>
          <w:tcPr>
            <w:tcW w:w="6381" w:type="dxa"/>
            <w:gridSpan w:val="2"/>
            <w:tcBorders>
              <w:top w:val="single" w:color="auto" w:sz="4" w:space="0"/>
            </w:tcBorders>
            <w:shd w:val="clear" w:color="auto" w:fill="BDD6EE"/>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b/>
                <w:bCs/>
                <w:sz w:val="24"/>
                <w:highlight w:val="none"/>
              </w:rPr>
            </w:pPr>
            <w:r>
              <w:rPr>
                <w:rFonts w:hint="eastAsia" w:ascii="仿宋" w:hAnsi="仿宋" w:eastAsia="仿宋"/>
                <w:b/>
                <w:bCs/>
                <w:sz w:val="24"/>
                <w:highlight w:val="none"/>
              </w:rPr>
              <w:t>项目赋分依据（二选一）</w:t>
            </w:r>
          </w:p>
        </w:tc>
        <w:tc>
          <w:tcPr>
            <w:tcW w:w="1010" w:type="dxa"/>
            <w:vMerge w:val="restart"/>
            <w:tcBorders>
              <w:top w:val="single" w:color="auto" w:sz="4" w:space="0"/>
            </w:tcBorders>
            <w:shd w:val="clear" w:color="auto" w:fill="BDD6EE"/>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b/>
                <w:bCs/>
                <w:sz w:val="24"/>
                <w:highlight w:val="none"/>
              </w:rPr>
            </w:pPr>
            <w:r>
              <w:rPr>
                <w:rFonts w:ascii="仿宋" w:hAnsi="仿宋" w:eastAsia="仿宋"/>
                <w:b/>
                <w:bCs/>
                <w:sz w:val="24"/>
                <w:highlight w:val="none"/>
              </w:rPr>
              <w:t>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2619" w:type="dxa"/>
            <w:tcBorders>
              <w:top w:val="single" w:color="auto" w:sz="4" w:space="0"/>
              <w:bottom w:val="single" w:color="auto" w:sz="12" w:space="0"/>
            </w:tcBorders>
            <w:shd w:val="clear" w:color="auto" w:fill="BDD6EE"/>
            <w:noWrap w:val="0"/>
            <w:vAlign w:val="center"/>
          </w:tcPr>
          <w:p>
            <w:pPr>
              <w:pageBreakBefore w:val="0"/>
              <w:kinsoku/>
              <w:wordWrap/>
              <w:overflowPunct/>
              <w:topLinePunct w:val="0"/>
              <w:autoSpaceDE/>
              <w:autoSpaceDN/>
              <w:bidi w:val="0"/>
              <w:spacing w:line="560" w:lineRule="exact"/>
              <w:jc w:val="center"/>
              <w:textAlignment w:val="auto"/>
              <w:rPr>
                <w:rFonts w:hint="eastAsia" w:ascii="仿宋" w:hAnsi="仿宋" w:eastAsia="仿宋"/>
                <w:b/>
                <w:bCs/>
                <w:sz w:val="24"/>
                <w:highlight w:val="none"/>
              </w:rPr>
            </w:pPr>
            <w:r>
              <w:rPr>
                <w:rFonts w:hint="eastAsia" w:ascii="仿宋" w:hAnsi="仿宋" w:eastAsia="仿宋"/>
                <w:b/>
                <w:bCs/>
                <w:sz w:val="24"/>
                <w:highlight w:val="none"/>
              </w:rPr>
              <w:t>经费来源</w:t>
            </w:r>
          </w:p>
        </w:tc>
        <w:tc>
          <w:tcPr>
            <w:tcW w:w="3762" w:type="dxa"/>
            <w:tcBorders>
              <w:top w:val="single" w:color="auto" w:sz="4" w:space="0"/>
              <w:bottom w:val="single" w:color="auto" w:sz="12" w:space="0"/>
            </w:tcBorders>
            <w:shd w:val="clear" w:color="auto" w:fill="BDD6EE"/>
            <w:noWrap w:val="0"/>
            <w:vAlign w:val="center"/>
          </w:tcPr>
          <w:p>
            <w:pPr>
              <w:pageBreakBefore w:val="0"/>
              <w:kinsoku/>
              <w:wordWrap/>
              <w:overflowPunct/>
              <w:topLinePunct w:val="0"/>
              <w:autoSpaceDE/>
              <w:autoSpaceDN/>
              <w:bidi w:val="0"/>
              <w:spacing w:line="560" w:lineRule="exact"/>
              <w:jc w:val="center"/>
              <w:textAlignment w:val="auto"/>
              <w:rPr>
                <w:rFonts w:hint="eastAsia" w:ascii="仿宋" w:hAnsi="仿宋" w:eastAsia="仿宋"/>
                <w:b/>
                <w:bCs/>
                <w:sz w:val="24"/>
                <w:highlight w:val="none"/>
              </w:rPr>
            </w:pPr>
            <w:r>
              <w:rPr>
                <w:rFonts w:hint="eastAsia" w:ascii="仿宋" w:hAnsi="仿宋" w:eastAsia="仿宋"/>
                <w:b/>
                <w:bCs/>
                <w:sz w:val="24"/>
                <w:highlight w:val="none"/>
              </w:rPr>
              <w:t>经费额度</w:t>
            </w:r>
          </w:p>
        </w:tc>
        <w:tc>
          <w:tcPr>
            <w:tcW w:w="1010" w:type="dxa"/>
            <w:vMerge w:val="continue"/>
            <w:tcBorders>
              <w:bottom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619" w:type="dxa"/>
            <w:tcBorders>
              <w:top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hint="eastAsia" w:ascii="仿宋" w:hAnsi="仿宋" w:eastAsia="仿宋"/>
                <w:sz w:val="24"/>
                <w:highlight w:val="none"/>
              </w:rPr>
              <w:t>国家委托</w:t>
            </w:r>
          </w:p>
        </w:tc>
        <w:tc>
          <w:tcPr>
            <w:tcW w:w="3762" w:type="dxa"/>
            <w:tcBorders>
              <w:top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hint="eastAsia" w:ascii="仿宋" w:hAnsi="仿宋" w:eastAsia="仿宋"/>
                <w:sz w:val="24"/>
                <w:highlight w:val="none"/>
              </w:rPr>
              <w:t>≥100万元</w:t>
            </w:r>
          </w:p>
        </w:tc>
        <w:tc>
          <w:tcPr>
            <w:tcW w:w="1010" w:type="dxa"/>
            <w:tcBorders>
              <w:top w:val="single" w:color="auto" w:sz="12" w:space="0"/>
            </w:tcBorders>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ascii="仿宋" w:hAnsi="仿宋" w:eastAsia="仿宋"/>
                <w:sz w:val="24"/>
                <w:highlight w:val="none"/>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2619" w:type="dxa"/>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hint="eastAsia" w:ascii="仿宋" w:hAnsi="仿宋" w:eastAsia="仿宋"/>
                <w:sz w:val="24"/>
                <w:highlight w:val="none"/>
              </w:rPr>
              <w:t>国家部委委托</w:t>
            </w:r>
          </w:p>
        </w:tc>
        <w:tc>
          <w:tcPr>
            <w:tcW w:w="3762" w:type="dxa"/>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hint="eastAsia" w:ascii="仿宋" w:hAnsi="仿宋" w:eastAsia="仿宋"/>
                <w:sz w:val="24"/>
                <w:highlight w:val="none"/>
              </w:rPr>
              <w:t>≥</w:t>
            </w:r>
            <w:r>
              <w:rPr>
                <w:rFonts w:ascii="仿宋" w:hAnsi="仿宋" w:eastAsia="仿宋"/>
                <w:sz w:val="24"/>
                <w:highlight w:val="none"/>
              </w:rPr>
              <w:t>50万元</w:t>
            </w:r>
            <w:r>
              <w:rPr>
                <w:rFonts w:hint="eastAsia" w:ascii="仿宋" w:hAnsi="仿宋" w:eastAsia="仿宋"/>
                <w:sz w:val="24"/>
                <w:highlight w:val="none"/>
              </w:rPr>
              <w:t>，＜100万元</w:t>
            </w:r>
          </w:p>
        </w:tc>
        <w:tc>
          <w:tcPr>
            <w:tcW w:w="1010" w:type="dxa"/>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sz w:val="24"/>
                <w:highlight w:val="none"/>
              </w:rPr>
            </w:pPr>
            <w:r>
              <w:rPr>
                <w:rFonts w:ascii="仿宋" w:hAnsi="仿宋" w:eastAsia="仿宋"/>
                <w:sz w:val="24"/>
                <w:highlight w:val="none"/>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2619" w:type="dxa"/>
            <w:noWrap w:val="0"/>
            <w:vAlign w:val="center"/>
          </w:tcPr>
          <w:p>
            <w:pPr>
              <w:pageBreakBefore w:val="0"/>
              <w:kinsoku/>
              <w:wordWrap/>
              <w:overflowPunct/>
              <w:topLinePunct w:val="0"/>
              <w:autoSpaceDE/>
              <w:autoSpaceDN/>
              <w:bidi w:val="0"/>
              <w:spacing w:line="560" w:lineRule="exact"/>
              <w:jc w:val="center"/>
              <w:textAlignment w:val="auto"/>
              <w:rPr>
                <w:rFonts w:hint="eastAsia" w:ascii="仿宋" w:hAnsi="仿宋" w:eastAsia="仿宋"/>
                <w:sz w:val="24"/>
                <w:highlight w:val="none"/>
              </w:rPr>
            </w:pPr>
            <w:r>
              <w:rPr>
                <w:rFonts w:hint="eastAsia" w:ascii="仿宋" w:hAnsi="仿宋" w:eastAsia="仿宋"/>
                <w:sz w:val="24"/>
                <w:highlight w:val="none"/>
              </w:rPr>
              <w:t>省（自治区）委托</w:t>
            </w:r>
          </w:p>
        </w:tc>
        <w:tc>
          <w:tcPr>
            <w:tcW w:w="3762" w:type="dxa"/>
            <w:noWrap w:val="0"/>
            <w:vAlign w:val="center"/>
          </w:tcPr>
          <w:p>
            <w:pPr>
              <w:pageBreakBefore w:val="0"/>
              <w:kinsoku/>
              <w:wordWrap/>
              <w:overflowPunct/>
              <w:topLinePunct w:val="0"/>
              <w:autoSpaceDE/>
              <w:autoSpaceDN/>
              <w:bidi w:val="0"/>
              <w:spacing w:line="560" w:lineRule="exact"/>
              <w:jc w:val="center"/>
              <w:textAlignment w:val="auto"/>
              <w:rPr>
                <w:rFonts w:hint="eastAsia" w:ascii="仿宋" w:hAnsi="仿宋" w:eastAsia="仿宋"/>
                <w:sz w:val="24"/>
                <w:highlight w:val="none"/>
              </w:rPr>
            </w:pPr>
            <w:r>
              <w:rPr>
                <w:rFonts w:hint="eastAsia" w:ascii="仿宋" w:hAnsi="仿宋" w:eastAsia="仿宋"/>
                <w:sz w:val="24"/>
                <w:highlight w:val="none"/>
              </w:rPr>
              <w:t>≥</w:t>
            </w:r>
            <w:r>
              <w:rPr>
                <w:rFonts w:ascii="仿宋" w:hAnsi="仿宋" w:eastAsia="仿宋"/>
                <w:sz w:val="24"/>
                <w:highlight w:val="none"/>
              </w:rPr>
              <w:t>20</w:t>
            </w:r>
            <w:r>
              <w:rPr>
                <w:rFonts w:hint="eastAsia" w:ascii="仿宋" w:hAnsi="仿宋" w:eastAsia="仿宋"/>
                <w:sz w:val="24"/>
                <w:highlight w:val="none"/>
              </w:rPr>
              <w:t>万元，＜</w:t>
            </w:r>
            <w:r>
              <w:rPr>
                <w:rFonts w:ascii="仿宋" w:hAnsi="仿宋" w:eastAsia="仿宋"/>
                <w:sz w:val="24"/>
                <w:highlight w:val="none"/>
              </w:rPr>
              <w:t>5</w:t>
            </w:r>
            <w:r>
              <w:rPr>
                <w:rFonts w:hint="eastAsia" w:ascii="仿宋" w:hAnsi="仿宋" w:eastAsia="仿宋"/>
                <w:sz w:val="24"/>
                <w:highlight w:val="none"/>
              </w:rPr>
              <w:t>0万元</w:t>
            </w:r>
          </w:p>
        </w:tc>
        <w:tc>
          <w:tcPr>
            <w:tcW w:w="1010" w:type="dxa"/>
            <w:noWrap w:val="0"/>
            <w:vAlign w:val="center"/>
          </w:tcPr>
          <w:p>
            <w:pPr>
              <w:pageBreakBefore w:val="0"/>
              <w:kinsoku/>
              <w:wordWrap/>
              <w:overflowPunct/>
              <w:topLinePunct w:val="0"/>
              <w:autoSpaceDE/>
              <w:autoSpaceDN/>
              <w:bidi w:val="0"/>
              <w:spacing w:line="560" w:lineRule="exact"/>
              <w:jc w:val="center"/>
              <w:textAlignment w:val="auto"/>
              <w:rPr>
                <w:rFonts w:hint="eastAsia" w:ascii="仿宋" w:hAnsi="仿宋" w:eastAsia="仿宋"/>
                <w:sz w:val="24"/>
                <w:highlight w:val="none"/>
              </w:rPr>
            </w:pPr>
            <w:r>
              <w:rPr>
                <w:rFonts w:hint="eastAsia" w:ascii="仿宋" w:hAnsi="仿宋" w:eastAsia="仿宋"/>
                <w:sz w:val="24"/>
                <w:highlight w:val="none"/>
              </w:rPr>
              <w:t>1</w:t>
            </w:r>
            <w:r>
              <w:rPr>
                <w:rFonts w:ascii="仿宋" w:hAnsi="仿宋" w:eastAsia="仿宋"/>
                <w:sz w:val="24"/>
                <w:highlight w:val="none"/>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2619" w:type="dxa"/>
            <w:tcBorders>
              <w:bottom w:val="single" w:color="auto" w:sz="4" w:space="0"/>
            </w:tcBorders>
            <w:noWrap w:val="0"/>
            <w:vAlign w:val="center"/>
          </w:tcPr>
          <w:p>
            <w:pPr>
              <w:pageBreakBefore w:val="0"/>
              <w:kinsoku/>
              <w:wordWrap/>
              <w:overflowPunct/>
              <w:topLinePunct w:val="0"/>
              <w:autoSpaceDE/>
              <w:autoSpaceDN/>
              <w:bidi w:val="0"/>
              <w:spacing w:line="560" w:lineRule="exact"/>
              <w:jc w:val="center"/>
              <w:textAlignment w:val="auto"/>
              <w:rPr>
                <w:rFonts w:hint="eastAsia" w:ascii="仿宋" w:hAnsi="仿宋" w:eastAsia="仿宋"/>
                <w:sz w:val="24"/>
                <w:highlight w:val="none"/>
              </w:rPr>
            </w:pPr>
            <w:r>
              <w:rPr>
                <w:rFonts w:hint="eastAsia" w:ascii="仿宋" w:hAnsi="仿宋" w:eastAsia="仿宋"/>
                <w:sz w:val="24"/>
                <w:highlight w:val="none"/>
              </w:rPr>
              <w:t>厅局委托</w:t>
            </w:r>
          </w:p>
        </w:tc>
        <w:tc>
          <w:tcPr>
            <w:tcW w:w="3762" w:type="dxa"/>
            <w:noWrap w:val="0"/>
            <w:vAlign w:val="center"/>
          </w:tcPr>
          <w:p>
            <w:pPr>
              <w:pageBreakBefore w:val="0"/>
              <w:kinsoku/>
              <w:wordWrap/>
              <w:overflowPunct/>
              <w:topLinePunct w:val="0"/>
              <w:autoSpaceDE/>
              <w:autoSpaceDN/>
              <w:bidi w:val="0"/>
              <w:spacing w:line="560" w:lineRule="exact"/>
              <w:jc w:val="center"/>
              <w:textAlignment w:val="auto"/>
              <w:rPr>
                <w:rFonts w:hint="eastAsia" w:ascii="仿宋" w:hAnsi="仿宋" w:eastAsia="仿宋"/>
                <w:sz w:val="24"/>
                <w:highlight w:val="none"/>
              </w:rPr>
            </w:pPr>
            <w:r>
              <w:rPr>
                <w:rFonts w:hint="eastAsia" w:ascii="仿宋" w:hAnsi="仿宋" w:eastAsia="仿宋"/>
                <w:sz w:val="24"/>
                <w:highlight w:val="none"/>
              </w:rPr>
              <w:t>≥</w:t>
            </w:r>
            <w:r>
              <w:rPr>
                <w:rFonts w:ascii="仿宋" w:hAnsi="仿宋" w:eastAsia="仿宋"/>
                <w:sz w:val="24"/>
                <w:highlight w:val="none"/>
              </w:rPr>
              <w:t>10</w:t>
            </w:r>
            <w:r>
              <w:rPr>
                <w:rFonts w:hint="eastAsia" w:ascii="仿宋" w:hAnsi="仿宋" w:eastAsia="仿宋"/>
                <w:sz w:val="24"/>
                <w:highlight w:val="none"/>
              </w:rPr>
              <w:t>万元，＜</w:t>
            </w:r>
            <w:r>
              <w:rPr>
                <w:rFonts w:ascii="仿宋" w:hAnsi="仿宋" w:eastAsia="仿宋"/>
                <w:sz w:val="24"/>
                <w:highlight w:val="none"/>
              </w:rPr>
              <w:t>20</w:t>
            </w:r>
            <w:r>
              <w:rPr>
                <w:rFonts w:hint="eastAsia" w:ascii="仿宋" w:hAnsi="仿宋" w:eastAsia="仿宋"/>
                <w:sz w:val="24"/>
                <w:highlight w:val="none"/>
              </w:rPr>
              <w:t>万元</w:t>
            </w:r>
          </w:p>
        </w:tc>
        <w:tc>
          <w:tcPr>
            <w:tcW w:w="1010" w:type="dxa"/>
            <w:noWrap w:val="0"/>
            <w:vAlign w:val="center"/>
          </w:tcPr>
          <w:p>
            <w:pPr>
              <w:pageBreakBefore w:val="0"/>
              <w:kinsoku/>
              <w:wordWrap/>
              <w:overflowPunct/>
              <w:topLinePunct w:val="0"/>
              <w:autoSpaceDE/>
              <w:autoSpaceDN/>
              <w:bidi w:val="0"/>
              <w:spacing w:line="560" w:lineRule="exact"/>
              <w:jc w:val="center"/>
              <w:textAlignment w:val="auto"/>
              <w:rPr>
                <w:rFonts w:hint="eastAsia" w:ascii="仿宋" w:hAnsi="仿宋" w:eastAsia="仿宋"/>
                <w:sz w:val="24"/>
                <w:highlight w:val="none"/>
              </w:rPr>
            </w:pPr>
            <w:r>
              <w:rPr>
                <w:rFonts w:hint="eastAsia" w:ascii="仿宋" w:hAnsi="仿宋" w:eastAsia="仿宋"/>
                <w:sz w:val="24"/>
                <w:highlight w:val="none"/>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2619" w:type="dxa"/>
            <w:tcBorders>
              <w:bottom w:val="single" w:color="auto" w:sz="4" w:space="0"/>
            </w:tcBorders>
            <w:noWrap w:val="0"/>
            <w:vAlign w:val="center"/>
          </w:tcPr>
          <w:p>
            <w:pPr>
              <w:pageBreakBefore w:val="0"/>
              <w:kinsoku/>
              <w:wordWrap/>
              <w:overflowPunct/>
              <w:topLinePunct w:val="0"/>
              <w:autoSpaceDE/>
              <w:autoSpaceDN/>
              <w:bidi w:val="0"/>
              <w:spacing w:line="560" w:lineRule="exact"/>
              <w:jc w:val="center"/>
              <w:textAlignment w:val="auto"/>
              <w:rPr>
                <w:rFonts w:hint="eastAsia" w:ascii="仿宋" w:hAnsi="仿宋" w:eastAsia="仿宋"/>
                <w:sz w:val="24"/>
                <w:highlight w:val="none"/>
              </w:rPr>
            </w:pPr>
            <w:r>
              <w:rPr>
                <w:rFonts w:hint="eastAsia" w:ascii="仿宋" w:hAnsi="仿宋" w:eastAsia="仿宋"/>
                <w:sz w:val="24"/>
                <w:highlight w:val="none"/>
              </w:rPr>
              <w:t>学校委托</w:t>
            </w:r>
          </w:p>
        </w:tc>
        <w:tc>
          <w:tcPr>
            <w:tcW w:w="3762" w:type="dxa"/>
            <w:tcBorders>
              <w:bottom w:val="single" w:color="auto" w:sz="4" w:space="0"/>
            </w:tcBorders>
            <w:noWrap w:val="0"/>
            <w:vAlign w:val="center"/>
          </w:tcPr>
          <w:p>
            <w:pPr>
              <w:pageBreakBefore w:val="0"/>
              <w:kinsoku/>
              <w:wordWrap/>
              <w:overflowPunct/>
              <w:topLinePunct w:val="0"/>
              <w:autoSpaceDE/>
              <w:autoSpaceDN/>
              <w:bidi w:val="0"/>
              <w:spacing w:line="560" w:lineRule="exact"/>
              <w:jc w:val="center"/>
              <w:textAlignment w:val="auto"/>
              <w:rPr>
                <w:rFonts w:hint="eastAsia" w:ascii="仿宋" w:hAnsi="仿宋" w:eastAsia="仿宋"/>
                <w:sz w:val="24"/>
                <w:highlight w:val="none"/>
              </w:rPr>
            </w:pPr>
            <w:r>
              <w:rPr>
                <w:rFonts w:hint="eastAsia" w:ascii="仿宋" w:hAnsi="仿宋" w:eastAsia="仿宋"/>
                <w:sz w:val="24"/>
                <w:highlight w:val="none"/>
              </w:rPr>
              <w:t>≥</w:t>
            </w:r>
            <w:r>
              <w:rPr>
                <w:rFonts w:ascii="仿宋" w:hAnsi="仿宋" w:eastAsia="仿宋"/>
                <w:sz w:val="24"/>
                <w:highlight w:val="none"/>
              </w:rPr>
              <w:t>3</w:t>
            </w:r>
            <w:r>
              <w:rPr>
                <w:rFonts w:hint="eastAsia" w:ascii="仿宋" w:hAnsi="仿宋" w:eastAsia="仿宋"/>
                <w:sz w:val="24"/>
                <w:highlight w:val="none"/>
              </w:rPr>
              <w:t>万元，＜</w:t>
            </w:r>
            <w:r>
              <w:rPr>
                <w:rFonts w:ascii="仿宋" w:hAnsi="仿宋" w:eastAsia="仿宋"/>
                <w:sz w:val="24"/>
                <w:highlight w:val="none"/>
              </w:rPr>
              <w:t>10</w:t>
            </w:r>
            <w:r>
              <w:rPr>
                <w:rFonts w:hint="eastAsia" w:ascii="仿宋" w:hAnsi="仿宋" w:eastAsia="仿宋"/>
                <w:sz w:val="24"/>
                <w:highlight w:val="none"/>
              </w:rPr>
              <w:t>万元</w:t>
            </w:r>
          </w:p>
        </w:tc>
        <w:tc>
          <w:tcPr>
            <w:tcW w:w="1010" w:type="dxa"/>
            <w:tcBorders>
              <w:bottom w:val="single" w:color="auto" w:sz="4" w:space="0"/>
            </w:tcBorders>
            <w:noWrap w:val="0"/>
            <w:vAlign w:val="center"/>
          </w:tcPr>
          <w:p>
            <w:pPr>
              <w:pageBreakBefore w:val="0"/>
              <w:kinsoku/>
              <w:wordWrap/>
              <w:overflowPunct/>
              <w:topLinePunct w:val="0"/>
              <w:autoSpaceDE/>
              <w:autoSpaceDN/>
              <w:bidi w:val="0"/>
              <w:spacing w:line="560" w:lineRule="exact"/>
              <w:jc w:val="center"/>
              <w:textAlignment w:val="auto"/>
              <w:rPr>
                <w:rFonts w:hint="eastAsia" w:ascii="仿宋" w:hAnsi="仿宋" w:eastAsia="仿宋"/>
                <w:sz w:val="24"/>
                <w:highlight w:val="none"/>
              </w:rPr>
            </w:pPr>
            <w:r>
              <w:rPr>
                <w:rFonts w:hint="eastAsia" w:ascii="仿宋" w:hAnsi="仿宋" w:eastAsia="仿宋"/>
                <w:sz w:val="24"/>
                <w:highlight w:val="none"/>
              </w:rPr>
              <w:t>6</w:t>
            </w:r>
          </w:p>
        </w:tc>
      </w:tr>
    </w:tbl>
    <w:p>
      <w:pPr>
        <w:pageBreakBefore w:val="0"/>
        <w:kinsoku/>
        <w:wordWrap/>
        <w:overflowPunct/>
        <w:topLinePunct w:val="0"/>
        <w:autoSpaceDE/>
        <w:autoSpaceDN/>
        <w:bidi w:val="0"/>
        <w:spacing w:line="560" w:lineRule="exact"/>
        <w:ind w:firstLine="480" w:firstLineChars="200"/>
        <w:textAlignment w:val="auto"/>
        <w:rPr>
          <w:rFonts w:ascii="仿宋" w:hAnsi="仿宋" w:eastAsia="仿宋"/>
          <w:sz w:val="24"/>
          <w:highlight w:val="none"/>
        </w:rPr>
      </w:pPr>
      <w:r>
        <w:rPr>
          <w:rFonts w:hint="eastAsia" w:ascii="仿宋" w:hAnsi="仿宋" w:eastAsia="仿宋"/>
          <w:sz w:val="24"/>
          <w:highlight w:val="none"/>
        </w:rPr>
        <w:t>注：根据《内蒙古艺术学院横向项目管理办法》，横向项目依据</w:t>
      </w:r>
      <w:r>
        <w:rPr>
          <w:rFonts w:hint="eastAsia" w:ascii="仿宋" w:hAnsi="仿宋" w:eastAsia="仿宋"/>
          <w:b/>
          <w:bCs/>
          <w:sz w:val="24"/>
          <w:highlight w:val="none"/>
        </w:rPr>
        <w:t>经费来源</w:t>
      </w:r>
      <w:r>
        <w:rPr>
          <w:rFonts w:hint="eastAsia" w:ascii="仿宋" w:hAnsi="仿宋" w:eastAsia="仿宋"/>
          <w:sz w:val="24"/>
          <w:highlight w:val="none"/>
        </w:rPr>
        <w:t>或项目</w:t>
      </w:r>
      <w:r>
        <w:rPr>
          <w:rFonts w:hint="eastAsia" w:ascii="仿宋" w:hAnsi="仿宋" w:eastAsia="仿宋"/>
          <w:b/>
          <w:bCs/>
          <w:sz w:val="24"/>
          <w:highlight w:val="none"/>
        </w:rPr>
        <w:t>经费额度</w:t>
      </w:r>
      <w:r>
        <w:rPr>
          <w:rFonts w:hint="eastAsia" w:ascii="仿宋" w:hAnsi="仿宋" w:eastAsia="仿宋"/>
          <w:sz w:val="24"/>
          <w:highlight w:val="none"/>
        </w:rPr>
        <w:t>予以赋分，按最高等次核定。横向项目成员赋分参照纵向项目成员赋分标准赋分。</w:t>
      </w:r>
    </w:p>
    <w:p>
      <w:pPr>
        <w:pageBreakBefore w:val="0"/>
        <w:widowControl/>
        <w:kinsoku/>
        <w:wordWrap/>
        <w:overflowPunct/>
        <w:topLinePunct w:val="0"/>
        <w:autoSpaceDE/>
        <w:autoSpaceDN/>
        <w:bidi w:val="0"/>
        <w:spacing w:line="560" w:lineRule="exact"/>
        <w:ind w:firstLine="321" w:firstLineChars="100"/>
        <w:jc w:val="left"/>
        <w:textAlignment w:val="auto"/>
        <w:rPr>
          <w:rFonts w:ascii="仿宋" w:hAnsi="仿宋" w:eastAsia="仿宋" w:cs="宋体"/>
          <w:b/>
          <w:kern w:val="0"/>
          <w:sz w:val="32"/>
          <w:szCs w:val="32"/>
          <w:highlight w:val="none"/>
        </w:rPr>
      </w:pPr>
      <w:r>
        <w:rPr>
          <w:rFonts w:hint="eastAsia" w:ascii="仿宋" w:hAnsi="仿宋" w:eastAsia="仿宋" w:cs="宋体"/>
          <w:b/>
          <w:kern w:val="0"/>
          <w:sz w:val="32"/>
          <w:szCs w:val="32"/>
          <w:highlight w:val="none"/>
          <w:lang w:val="en-US" w:eastAsia="zh-CN"/>
        </w:rPr>
        <w:t>4.</w:t>
      </w:r>
      <w:r>
        <w:rPr>
          <w:rFonts w:hint="eastAsia" w:ascii="仿宋" w:hAnsi="仿宋" w:eastAsia="仿宋" w:cs="宋体"/>
          <w:b/>
          <w:kern w:val="0"/>
          <w:sz w:val="32"/>
          <w:szCs w:val="32"/>
          <w:highlight w:val="none"/>
        </w:rPr>
        <w:t>专利分级和分值</w:t>
      </w:r>
    </w:p>
    <w:tbl>
      <w:tblPr>
        <w:tblStyle w:val="4"/>
        <w:tblW w:w="86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770"/>
        <w:gridCol w:w="1733"/>
        <w:gridCol w:w="1600"/>
        <w:gridCol w:w="1701"/>
        <w:gridCol w:w="1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0" w:hRule="atLeast"/>
          <w:jc w:val="center"/>
        </w:trPr>
        <w:tc>
          <w:tcPr>
            <w:tcW w:w="1770" w:type="dxa"/>
            <w:vMerge w:val="restart"/>
            <w:shd w:val="clear" w:color="auto" w:fill="BDD6EE"/>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cs="宋体"/>
                <w:spacing w:val="7"/>
                <w:sz w:val="24"/>
                <w:highlight w:val="none"/>
              </w:rPr>
            </w:pPr>
            <w:r>
              <w:rPr>
                <w:rFonts w:hint="eastAsia" w:ascii="仿宋" w:hAnsi="仿宋" w:eastAsia="仿宋" w:cs="宋体"/>
                <w:spacing w:val="7"/>
                <w:sz w:val="24"/>
                <w:highlight w:val="none"/>
              </w:rPr>
              <w:t>专利类别</w:t>
            </w:r>
          </w:p>
        </w:tc>
        <w:tc>
          <w:tcPr>
            <w:tcW w:w="3333" w:type="dxa"/>
            <w:gridSpan w:val="2"/>
            <w:shd w:val="clear" w:color="auto" w:fill="BDD6EE"/>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cs="宋体"/>
                <w:sz w:val="24"/>
                <w:highlight w:val="none"/>
              </w:rPr>
            </w:pPr>
            <w:r>
              <w:rPr>
                <w:rFonts w:ascii="仿宋" w:hAnsi="仿宋" w:eastAsia="仿宋" w:cs="宋体"/>
                <w:spacing w:val="7"/>
                <w:sz w:val="24"/>
                <w:highlight w:val="none"/>
              </w:rPr>
              <w:t>国</w:t>
            </w:r>
            <w:r>
              <w:rPr>
                <w:rFonts w:ascii="仿宋" w:hAnsi="仿宋" w:eastAsia="仿宋" w:cs="宋体"/>
                <w:spacing w:val="5"/>
                <w:sz w:val="24"/>
                <w:highlight w:val="none"/>
              </w:rPr>
              <w:t>际专利</w:t>
            </w:r>
          </w:p>
        </w:tc>
        <w:tc>
          <w:tcPr>
            <w:tcW w:w="3544" w:type="dxa"/>
            <w:gridSpan w:val="2"/>
            <w:shd w:val="clear" w:color="auto" w:fill="BDD6EE"/>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cs="宋体"/>
                <w:sz w:val="24"/>
                <w:highlight w:val="none"/>
              </w:rPr>
            </w:pPr>
            <w:r>
              <w:rPr>
                <w:rFonts w:ascii="仿宋" w:hAnsi="仿宋" w:eastAsia="仿宋" w:cs="宋体"/>
                <w:spacing w:val="7"/>
                <w:sz w:val="24"/>
                <w:highlight w:val="none"/>
              </w:rPr>
              <w:t>国</w:t>
            </w:r>
            <w:r>
              <w:rPr>
                <w:rFonts w:ascii="仿宋" w:hAnsi="仿宋" w:eastAsia="仿宋" w:cs="宋体"/>
                <w:spacing w:val="5"/>
                <w:sz w:val="24"/>
                <w:highlight w:val="none"/>
              </w:rPr>
              <w:t>家专利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8" w:hRule="atLeast"/>
          <w:jc w:val="center"/>
        </w:trPr>
        <w:tc>
          <w:tcPr>
            <w:tcW w:w="1770" w:type="dxa"/>
            <w:vMerge w:val="continue"/>
            <w:shd w:val="clear" w:color="auto" w:fill="auto"/>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cs="Arial"/>
                <w:sz w:val="24"/>
                <w:highlight w:val="none"/>
              </w:rPr>
            </w:pPr>
          </w:p>
        </w:tc>
        <w:tc>
          <w:tcPr>
            <w:tcW w:w="1733" w:type="dxa"/>
            <w:shd w:val="clear" w:color="auto" w:fill="BDD6EE"/>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cs="宋体"/>
                <w:spacing w:val="7"/>
                <w:sz w:val="24"/>
                <w:highlight w:val="none"/>
              </w:rPr>
            </w:pPr>
            <w:r>
              <w:rPr>
                <w:rFonts w:ascii="仿宋" w:hAnsi="仿宋" w:eastAsia="仿宋" w:cs="宋体"/>
                <w:spacing w:val="7"/>
                <w:sz w:val="24"/>
                <w:highlight w:val="none"/>
              </w:rPr>
              <w:t>授权</w:t>
            </w:r>
          </w:p>
        </w:tc>
        <w:tc>
          <w:tcPr>
            <w:tcW w:w="1600" w:type="dxa"/>
            <w:shd w:val="clear" w:color="auto" w:fill="BDD6EE"/>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cs="宋体"/>
                <w:spacing w:val="7"/>
                <w:sz w:val="24"/>
                <w:highlight w:val="none"/>
              </w:rPr>
            </w:pPr>
            <w:r>
              <w:rPr>
                <w:rFonts w:ascii="仿宋" w:hAnsi="仿宋" w:eastAsia="仿宋" w:cs="宋体"/>
                <w:spacing w:val="7"/>
                <w:sz w:val="24"/>
                <w:highlight w:val="none"/>
              </w:rPr>
              <w:t>转让</w:t>
            </w:r>
          </w:p>
        </w:tc>
        <w:tc>
          <w:tcPr>
            <w:tcW w:w="1701" w:type="dxa"/>
            <w:shd w:val="clear" w:color="auto" w:fill="BDD6EE"/>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cs="宋体"/>
                <w:spacing w:val="7"/>
                <w:sz w:val="24"/>
                <w:highlight w:val="none"/>
              </w:rPr>
            </w:pPr>
            <w:r>
              <w:rPr>
                <w:rFonts w:ascii="仿宋" w:hAnsi="仿宋" w:eastAsia="仿宋" w:cs="宋体"/>
                <w:spacing w:val="7"/>
                <w:sz w:val="24"/>
                <w:highlight w:val="none"/>
              </w:rPr>
              <w:t>授权</w:t>
            </w:r>
          </w:p>
        </w:tc>
        <w:tc>
          <w:tcPr>
            <w:tcW w:w="1843" w:type="dxa"/>
            <w:shd w:val="clear" w:color="auto" w:fill="BDD6EE"/>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cs="宋体"/>
                <w:spacing w:val="7"/>
                <w:sz w:val="24"/>
                <w:highlight w:val="none"/>
              </w:rPr>
            </w:pPr>
            <w:r>
              <w:rPr>
                <w:rFonts w:ascii="仿宋" w:hAnsi="仿宋" w:eastAsia="仿宋" w:cs="宋体"/>
                <w:spacing w:val="7"/>
                <w:sz w:val="24"/>
                <w:highlight w:val="none"/>
              </w:rPr>
              <w:t>转让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3" w:hRule="atLeast"/>
          <w:jc w:val="center"/>
        </w:trPr>
        <w:tc>
          <w:tcPr>
            <w:tcW w:w="1770" w:type="dxa"/>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cs="宋体"/>
                <w:sz w:val="24"/>
                <w:highlight w:val="none"/>
              </w:rPr>
            </w:pPr>
            <w:r>
              <w:rPr>
                <w:rFonts w:ascii="仿宋" w:hAnsi="仿宋" w:eastAsia="仿宋" w:cs="宋体"/>
                <w:spacing w:val="17"/>
                <w:sz w:val="24"/>
                <w:highlight w:val="none"/>
              </w:rPr>
              <w:t>发</w:t>
            </w:r>
            <w:r>
              <w:rPr>
                <w:rFonts w:ascii="仿宋" w:hAnsi="仿宋" w:eastAsia="仿宋" w:cs="宋体"/>
                <w:spacing w:val="16"/>
                <w:sz w:val="24"/>
                <w:highlight w:val="none"/>
              </w:rPr>
              <w:t>明</w:t>
            </w:r>
          </w:p>
        </w:tc>
        <w:tc>
          <w:tcPr>
            <w:tcW w:w="1733" w:type="dxa"/>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cs="宋体"/>
                <w:sz w:val="24"/>
                <w:highlight w:val="none"/>
              </w:rPr>
            </w:pPr>
            <w:r>
              <w:rPr>
                <w:rFonts w:ascii="仿宋" w:hAnsi="仿宋" w:eastAsia="仿宋" w:cs="宋体"/>
                <w:spacing w:val="-6"/>
                <w:sz w:val="24"/>
                <w:highlight w:val="none"/>
              </w:rPr>
              <w:t>8</w:t>
            </w:r>
          </w:p>
        </w:tc>
        <w:tc>
          <w:tcPr>
            <w:tcW w:w="1600" w:type="dxa"/>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cs="宋体"/>
                <w:sz w:val="24"/>
                <w:highlight w:val="none"/>
              </w:rPr>
            </w:pPr>
            <w:r>
              <w:rPr>
                <w:rFonts w:ascii="仿宋" w:hAnsi="仿宋" w:eastAsia="仿宋" w:cs="宋体"/>
                <w:spacing w:val="-4"/>
                <w:sz w:val="24"/>
                <w:highlight w:val="none"/>
              </w:rPr>
              <w:t>8</w:t>
            </w:r>
          </w:p>
        </w:tc>
        <w:tc>
          <w:tcPr>
            <w:tcW w:w="1701" w:type="dxa"/>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cs="宋体"/>
                <w:sz w:val="24"/>
                <w:highlight w:val="none"/>
              </w:rPr>
            </w:pPr>
            <w:r>
              <w:rPr>
                <w:rFonts w:ascii="仿宋" w:hAnsi="仿宋" w:eastAsia="仿宋" w:cs="宋体"/>
                <w:spacing w:val="-4"/>
                <w:sz w:val="24"/>
                <w:highlight w:val="none"/>
              </w:rPr>
              <w:t>7</w:t>
            </w:r>
          </w:p>
        </w:tc>
        <w:tc>
          <w:tcPr>
            <w:tcW w:w="1843" w:type="dxa"/>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cs="宋体"/>
                <w:sz w:val="24"/>
                <w:highlight w:val="none"/>
              </w:rPr>
            </w:pPr>
            <w:r>
              <w:rPr>
                <w:rFonts w:ascii="仿宋" w:hAnsi="仿宋" w:eastAsia="仿宋" w:cs="宋体"/>
                <w:spacing w:val="-4"/>
                <w:sz w:val="24"/>
                <w:highlight w:val="none"/>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3" w:hRule="atLeast"/>
          <w:jc w:val="center"/>
        </w:trPr>
        <w:tc>
          <w:tcPr>
            <w:tcW w:w="1770" w:type="dxa"/>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cs="宋体"/>
                <w:sz w:val="24"/>
                <w:highlight w:val="none"/>
              </w:rPr>
            </w:pPr>
            <w:r>
              <w:rPr>
                <w:rFonts w:ascii="仿宋" w:hAnsi="仿宋" w:eastAsia="仿宋" w:cs="宋体"/>
                <w:spacing w:val="4"/>
                <w:sz w:val="24"/>
                <w:highlight w:val="none"/>
              </w:rPr>
              <w:t>实</w:t>
            </w:r>
            <w:r>
              <w:rPr>
                <w:rFonts w:ascii="仿宋" w:hAnsi="仿宋" w:eastAsia="仿宋" w:cs="宋体"/>
                <w:spacing w:val="2"/>
                <w:sz w:val="24"/>
                <w:highlight w:val="none"/>
              </w:rPr>
              <w:t>用新型</w:t>
            </w:r>
          </w:p>
        </w:tc>
        <w:tc>
          <w:tcPr>
            <w:tcW w:w="1733" w:type="dxa"/>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cs="宋体"/>
                <w:sz w:val="24"/>
                <w:highlight w:val="none"/>
              </w:rPr>
            </w:pPr>
            <w:r>
              <w:rPr>
                <w:rFonts w:ascii="仿宋" w:hAnsi="仿宋" w:eastAsia="仿宋" w:cs="宋体"/>
                <w:spacing w:val="-4"/>
                <w:sz w:val="24"/>
                <w:highlight w:val="none"/>
              </w:rPr>
              <w:t>6</w:t>
            </w:r>
          </w:p>
        </w:tc>
        <w:tc>
          <w:tcPr>
            <w:tcW w:w="1600" w:type="dxa"/>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cs="宋体"/>
                <w:sz w:val="24"/>
                <w:highlight w:val="none"/>
              </w:rPr>
            </w:pPr>
            <w:r>
              <w:rPr>
                <w:rFonts w:ascii="仿宋" w:hAnsi="仿宋" w:eastAsia="仿宋" w:cs="宋体"/>
                <w:spacing w:val="-10"/>
                <w:sz w:val="24"/>
                <w:highlight w:val="none"/>
              </w:rPr>
              <w:t>6</w:t>
            </w:r>
          </w:p>
        </w:tc>
        <w:tc>
          <w:tcPr>
            <w:tcW w:w="1701" w:type="dxa"/>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cs="宋体"/>
                <w:sz w:val="24"/>
                <w:highlight w:val="none"/>
              </w:rPr>
            </w:pPr>
            <w:r>
              <w:rPr>
                <w:rFonts w:ascii="仿宋" w:hAnsi="仿宋" w:eastAsia="仿宋" w:cs="宋体"/>
                <w:spacing w:val="-6"/>
                <w:sz w:val="24"/>
                <w:highlight w:val="none"/>
              </w:rPr>
              <w:t>5</w:t>
            </w:r>
          </w:p>
        </w:tc>
        <w:tc>
          <w:tcPr>
            <w:tcW w:w="1843" w:type="dxa"/>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cs="宋体"/>
                <w:sz w:val="24"/>
                <w:highlight w:val="none"/>
              </w:rPr>
            </w:pPr>
            <w:r>
              <w:rPr>
                <w:rFonts w:ascii="仿宋" w:hAnsi="仿宋" w:eastAsia="仿宋" w:cs="宋体"/>
                <w:spacing w:val="-10"/>
                <w:sz w:val="24"/>
                <w:highlight w:val="none"/>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1" w:hRule="atLeast"/>
          <w:jc w:val="center"/>
        </w:trPr>
        <w:tc>
          <w:tcPr>
            <w:tcW w:w="1770" w:type="dxa"/>
            <w:noWrap w:val="0"/>
            <w:vAlign w:val="center"/>
          </w:tcPr>
          <w:p>
            <w:pPr>
              <w:pageBreakBefore w:val="0"/>
              <w:kinsoku/>
              <w:wordWrap/>
              <w:overflowPunct/>
              <w:topLinePunct w:val="0"/>
              <w:autoSpaceDE/>
              <w:autoSpaceDN/>
              <w:bidi w:val="0"/>
              <w:spacing w:line="560" w:lineRule="exact"/>
              <w:jc w:val="center"/>
              <w:textAlignment w:val="auto"/>
              <w:rPr>
                <w:rFonts w:ascii="仿宋" w:hAnsi="仿宋" w:eastAsia="仿宋" w:cs="宋体"/>
                <w:sz w:val="24"/>
                <w:highlight w:val="none"/>
              </w:rPr>
            </w:pPr>
            <w:r>
              <w:rPr>
                <w:rFonts w:ascii="仿宋" w:hAnsi="仿宋" w:eastAsia="仿宋" w:cs="宋体"/>
                <w:spacing w:val="1"/>
                <w:sz w:val="24"/>
                <w:highlight w:val="none"/>
              </w:rPr>
              <w:t>外观设</w:t>
            </w:r>
            <w:r>
              <w:rPr>
                <w:rFonts w:ascii="仿宋" w:hAnsi="仿宋" w:eastAsia="仿宋" w:cs="宋体"/>
                <w:sz w:val="24"/>
                <w:highlight w:val="none"/>
              </w:rPr>
              <w:t>计</w:t>
            </w:r>
          </w:p>
        </w:tc>
        <w:tc>
          <w:tcPr>
            <w:tcW w:w="1733" w:type="dxa"/>
            <w:noWrap w:val="0"/>
            <w:vAlign w:val="center"/>
          </w:tcPr>
          <w:p>
            <w:pPr>
              <w:pageBreakBefore w:val="0"/>
              <w:kinsoku/>
              <w:wordWrap/>
              <w:overflowPunct/>
              <w:topLinePunct w:val="0"/>
              <w:autoSpaceDE/>
              <w:autoSpaceDN/>
              <w:bidi w:val="0"/>
              <w:spacing w:line="560" w:lineRule="exact"/>
              <w:jc w:val="center"/>
              <w:textAlignment w:val="auto"/>
              <w:rPr>
                <w:rFonts w:hint="eastAsia" w:ascii="仿宋" w:hAnsi="仿宋" w:eastAsia="仿宋" w:cs="宋体"/>
                <w:sz w:val="24"/>
                <w:highlight w:val="none"/>
              </w:rPr>
            </w:pPr>
            <w:r>
              <w:rPr>
                <w:rFonts w:hint="eastAsia" w:ascii="仿宋" w:hAnsi="仿宋" w:eastAsia="仿宋" w:cs="宋体"/>
                <w:spacing w:val="-6"/>
                <w:sz w:val="24"/>
                <w:highlight w:val="none"/>
              </w:rPr>
              <w:t>4</w:t>
            </w:r>
          </w:p>
        </w:tc>
        <w:tc>
          <w:tcPr>
            <w:tcW w:w="1600" w:type="dxa"/>
            <w:noWrap w:val="0"/>
            <w:vAlign w:val="center"/>
          </w:tcPr>
          <w:p>
            <w:pPr>
              <w:pageBreakBefore w:val="0"/>
              <w:kinsoku/>
              <w:wordWrap/>
              <w:overflowPunct/>
              <w:topLinePunct w:val="0"/>
              <w:autoSpaceDE/>
              <w:autoSpaceDN/>
              <w:bidi w:val="0"/>
              <w:spacing w:line="560" w:lineRule="exact"/>
              <w:jc w:val="center"/>
              <w:textAlignment w:val="auto"/>
              <w:rPr>
                <w:rFonts w:hint="eastAsia" w:ascii="仿宋" w:hAnsi="仿宋" w:eastAsia="仿宋" w:cs="宋体"/>
                <w:sz w:val="24"/>
                <w:highlight w:val="none"/>
              </w:rPr>
            </w:pPr>
            <w:r>
              <w:rPr>
                <w:rFonts w:hint="eastAsia" w:ascii="仿宋" w:hAnsi="仿宋" w:eastAsia="仿宋" w:cs="宋体"/>
                <w:spacing w:val="-10"/>
                <w:sz w:val="24"/>
                <w:highlight w:val="none"/>
              </w:rPr>
              <w:t>4</w:t>
            </w:r>
          </w:p>
        </w:tc>
        <w:tc>
          <w:tcPr>
            <w:tcW w:w="1701" w:type="dxa"/>
            <w:noWrap w:val="0"/>
            <w:vAlign w:val="center"/>
          </w:tcPr>
          <w:p>
            <w:pPr>
              <w:pageBreakBefore w:val="0"/>
              <w:kinsoku/>
              <w:wordWrap/>
              <w:overflowPunct/>
              <w:topLinePunct w:val="0"/>
              <w:autoSpaceDE/>
              <w:autoSpaceDN/>
              <w:bidi w:val="0"/>
              <w:spacing w:line="560" w:lineRule="exact"/>
              <w:jc w:val="center"/>
              <w:textAlignment w:val="auto"/>
              <w:rPr>
                <w:rFonts w:hint="eastAsia" w:ascii="仿宋" w:hAnsi="仿宋" w:eastAsia="仿宋" w:cs="宋体"/>
                <w:sz w:val="24"/>
                <w:highlight w:val="none"/>
              </w:rPr>
            </w:pPr>
            <w:r>
              <w:rPr>
                <w:rFonts w:hint="eastAsia" w:ascii="仿宋" w:hAnsi="仿宋" w:eastAsia="仿宋" w:cs="宋体"/>
                <w:spacing w:val="-4"/>
                <w:sz w:val="24"/>
                <w:highlight w:val="none"/>
              </w:rPr>
              <w:t>3</w:t>
            </w:r>
          </w:p>
        </w:tc>
        <w:tc>
          <w:tcPr>
            <w:tcW w:w="1843" w:type="dxa"/>
            <w:noWrap w:val="0"/>
            <w:vAlign w:val="center"/>
          </w:tcPr>
          <w:p>
            <w:pPr>
              <w:pageBreakBefore w:val="0"/>
              <w:kinsoku/>
              <w:wordWrap/>
              <w:overflowPunct/>
              <w:topLinePunct w:val="0"/>
              <w:autoSpaceDE/>
              <w:autoSpaceDN/>
              <w:bidi w:val="0"/>
              <w:spacing w:line="560" w:lineRule="exact"/>
              <w:jc w:val="center"/>
              <w:textAlignment w:val="auto"/>
              <w:rPr>
                <w:rFonts w:hint="eastAsia" w:ascii="仿宋" w:hAnsi="仿宋" w:eastAsia="仿宋" w:cs="宋体"/>
                <w:sz w:val="24"/>
                <w:highlight w:val="none"/>
              </w:rPr>
            </w:pPr>
            <w:r>
              <w:rPr>
                <w:rFonts w:hint="eastAsia" w:ascii="仿宋" w:hAnsi="仿宋" w:eastAsia="仿宋" w:cs="宋体"/>
                <w:spacing w:val="-10"/>
                <w:sz w:val="24"/>
                <w:highlight w:val="none"/>
              </w:rPr>
              <w:t>3</w:t>
            </w:r>
          </w:p>
        </w:tc>
      </w:tr>
    </w:tbl>
    <w:p>
      <w:pPr>
        <w:pageBreakBefore w:val="0"/>
        <w:widowControl/>
        <w:kinsoku/>
        <w:wordWrap/>
        <w:overflowPunct/>
        <w:topLinePunct w:val="0"/>
        <w:autoSpaceDE/>
        <w:autoSpaceDN/>
        <w:bidi w:val="0"/>
        <w:spacing w:line="560" w:lineRule="exact"/>
        <w:ind w:firstLine="482" w:firstLineChars="200"/>
        <w:jc w:val="left"/>
        <w:textAlignment w:val="auto"/>
        <w:rPr>
          <w:rFonts w:hint="eastAsia" w:ascii="仿宋" w:hAnsi="仿宋" w:eastAsia="仿宋"/>
          <w:sz w:val="24"/>
          <w:highlight w:val="none"/>
        </w:rPr>
      </w:pPr>
      <w:r>
        <w:rPr>
          <w:rFonts w:hint="eastAsia" w:ascii="仿宋" w:hAnsi="仿宋" w:eastAsia="仿宋"/>
          <w:b/>
          <w:bCs/>
          <w:sz w:val="24"/>
          <w:highlight w:val="none"/>
        </w:rPr>
        <w:t>注：</w:t>
      </w:r>
      <w:r>
        <w:rPr>
          <w:rFonts w:hint="eastAsia" w:ascii="仿宋" w:hAnsi="仿宋" w:eastAsia="仿宋"/>
          <w:sz w:val="24"/>
          <w:highlight w:val="none"/>
        </w:rPr>
        <w:t>职务行为产生的成果</w:t>
      </w:r>
      <w:r>
        <w:rPr>
          <w:rFonts w:hint="eastAsia" w:ascii="Arial" w:hAnsi="Arial" w:cs="Arial"/>
          <w:sz w:val="24"/>
          <w:highlight w:val="none"/>
          <w:shd w:val="clear" w:color="auto" w:fill="FFFFFF"/>
        </w:rPr>
        <w:t>，</w:t>
      </w:r>
      <w:r>
        <w:rPr>
          <w:rFonts w:hint="eastAsia" w:ascii="仿宋" w:hAnsi="仿宋" w:eastAsia="仿宋"/>
          <w:sz w:val="24"/>
          <w:highlight w:val="none"/>
        </w:rPr>
        <w:t>专利</w:t>
      </w:r>
      <w:r>
        <w:rPr>
          <w:rFonts w:ascii="仿宋" w:hAnsi="仿宋" w:eastAsia="仿宋"/>
          <w:sz w:val="24"/>
          <w:highlight w:val="none"/>
        </w:rPr>
        <w:t>申请权与专利权归</w:t>
      </w:r>
      <w:r>
        <w:rPr>
          <w:rFonts w:hint="eastAsia" w:ascii="仿宋" w:hAnsi="仿宋" w:eastAsia="仿宋"/>
          <w:sz w:val="24"/>
          <w:highlight w:val="none"/>
        </w:rPr>
        <w:t>内蒙古</w:t>
      </w:r>
      <w:r>
        <w:rPr>
          <w:rFonts w:ascii="仿宋" w:hAnsi="仿宋" w:eastAsia="仿宋"/>
          <w:sz w:val="24"/>
          <w:highlight w:val="none"/>
        </w:rPr>
        <w:t>艺术学院所有</w:t>
      </w:r>
      <w:r>
        <w:rPr>
          <w:rFonts w:hint="eastAsia" w:ascii="仿宋" w:hAnsi="仿宋" w:eastAsia="仿宋"/>
          <w:sz w:val="24"/>
          <w:highlight w:val="none"/>
        </w:rPr>
        <w:t>，专利转让须以内蒙古艺术学院名义与实际使用方(不包括技术转移机构等)签署相关合同，合同中应包含专利名称或专利号、转化收益等信息。</w:t>
      </w:r>
    </w:p>
    <w:p>
      <w:pPr>
        <w:pageBreakBefore w:val="0"/>
        <w:widowControl/>
        <w:kinsoku/>
        <w:wordWrap/>
        <w:overflowPunct/>
        <w:topLinePunct w:val="0"/>
        <w:autoSpaceDE/>
        <w:autoSpaceDN/>
        <w:bidi w:val="0"/>
        <w:spacing w:line="560" w:lineRule="exact"/>
        <w:ind w:firstLine="321" w:firstLineChars="100"/>
        <w:jc w:val="left"/>
        <w:textAlignment w:val="auto"/>
        <w:rPr>
          <w:rFonts w:hint="eastAsia" w:ascii="仿宋" w:hAnsi="仿宋" w:eastAsia="仿宋" w:cs="宋体"/>
          <w:b/>
          <w:kern w:val="0"/>
          <w:sz w:val="32"/>
          <w:szCs w:val="32"/>
          <w:highlight w:val="none"/>
        </w:rPr>
      </w:pPr>
      <w:r>
        <w:rPr>
          <w:rFonts w:hint="eastAsia" w:ascii="仿宋" w:hAnsi="仿宋" w:eastAsia="仿宋" w:cs="宋体"/>
          <w:b/>
          <w:kern w:val="0"/>
          <w:sz w:val="32"/>
          <w:szCs w:val="32"/>
          <w:highlight w:val="none"/>
          <w:lang w:val="en-US" w:eastAsia="zh-CN"/>
        </w:rPr>
        <w:t>5.</w:t>
      </w:r>
      <w:r>
        <w:rPr>
          <w:rFonts w:hint="eastAsia" w:ascii="仿宋" w:hAnsi="仿宋" w:eastAsia="仿宋" w:cs="宋体"/>
          <w:b/>
          <w:kern w:val="0"/>
          <w:sz w:val="32"/>
          <w:szCs w:val="32"/>
          <w:highlight w:val="none"/>
        </w:rPr>
        <w:t>学术会议论文分级和分值</w:t>
      </w:r>
    </w:p>
    <w:tbl>
      <w:tblPr>
        <w:tblStyle w:val="4"/>
        <w:tblW w:w="8615"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715"/>
        <w:gridCol w:w="2450"/>
        <w:gridCol w:w="245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7" w:hRule="atLeast"/>
          <w:jc w:val="center"/>
        </w:trPr>
        <w:tc>
          <w:tcPr>
            <w:tcW w:w="3715" w:type="dxa"/>
            <w:tcBorders>
              <w:top w:val="single" w:color="auto" w:sz="4" w:space="0"/>
              <w:left w:val="single" w:color="auto" w:sz="4" w:space="0"/>
              <w:bottom w:val="single" w:color="auto" w:sz="4" w:space="0"/>
              <w:right w:val="single" w:color="auto" w:sz="4" w:space="0"/>
            </w:tcBorders>
            <w:noWrap w:val="0"/>
            <w:vAlign w:val="top"/>
          </w:tcPr>
          <w:p>
            <w:pPr>
              <w:pageBreakBefore w:val="0"/>
              <w:kinsoku/>
              <w:wordWrap/>
              <w:overflowPunct/>
              <w:topLinePunct w:val="0"/>
              <w:autoSpaceDE/>
              <w:autoSpaceDN/>
              <w:bidi w:val="0"/>
              <w:spacing w:line="560" w:lineRule="exact"/>
              <w:jc w:val="center"/>
              <w:textAlignment w:val="auto"/>
              <w:rPr>
                <w:rFonts w:ascii="仿宋" w:hAnsi="仿宋" w:eastAsia="仿宋" w:cs="宋体"/>
                <w:sz w:val="28"/>
                <w:szCs w:val="28"/>
                <w:highlight w:val="none"/>
              </w:rPr>
            </w:pPr>
            <w:r>
              <w:rPr>
                <w:rFonts w:ascii="仿宋" w:hAnsi="仿宋" w:eastAsia="仿宋" w:cs="宋体"/>
                <w:spacing w:val="13"/>
                <w:sz w:val="28"/>
                <w:szCs w:val="28"/>
                <w:highlight w:val="none"/>
              </w:rPr>
              <w:t>类</w:t>
            </w:r>
            <w:r>
              <w:rPr>
                <w:rFonts w:ascii="仿宋" w:hAnsi="仿宋" w:eastAsia="仿宋" w:cs="宋体"/>
                <w:spacing w:val="12"/>
                <w:sz w:val="28"/>
                <w:szCs w:val="28"/>
                <w:highlight w:val="none"/>
              </w:rPr>
              <w:t>别</w:t>
            </w:r>
          </w:p>
        </w:tc>
        <w:tc>
          <w:tcPr>
            <w:tcW w:w="2450" w:type="dxa"/>
            <w:tcBorders>
              <w:left w:val="single" w:color="auto" w:sz="4" w:space="0"/>
              <w:right w:val="single" w:color="auto" w:sz="4" w:space="0"/>
            </w:tcBorders>
            <w:noWrap w:val="0"/>
            <w:vAlign w:val="top"/>
          </w:tcPr>
          <w:p>
            <w:pPr>
              <w:pageBreakBefore w:val="0"/>
              <w:kinsoku/>
              <w:wordWrap/>
              <w:overflowPunct/>
              <w:topLinePunct w:val="0"/>
              <w:autoSpaceDE/>
              <w:autoSpaceDN/>
              <w:bidi w:val="0"/>
              <w:spacing w:line="560" w:lineRule="exact"/>
              <w:jc w:val="center"/>
              <w:textAlignment w:val="auto"/>
              <w:rPr>
                <w:rFonts w:hint="eastAsia" w:ascii="仿宋" w:hAnsi="仿宋" w:eastAsia="仿宋" w:cs="宋体"/>
                <w:spacing w:val="1"/>
                <w:sz w:val="28"/>
                <w:szCs w:val="28"/>
                <w:highlight w:val="none"/>
              </w:rPr>
            </w:pPr>
            <w:r>
              <w:rPr>
                <w:rFonts w:hint="eastAsia" w:ascii="仿宋" w:hAnsi="仿宋" w:eastAsia="仿宋" w:cs="宋体"/>
                <w:spacing w:val="1"/>
                <w:sz w:val="28"/>
                <w:szCs w:val="28"/>
                <w:highlight w:val="none"/>
              </w:rPr>
              <w:t>大会报告</w:t>
            </w:r>
          </w:p>
        </w:tc>
        <w:tc>
          <w:tcPr>
            <w:tcW w:w="2450" w:type="dxa"/>
            <w:tcBorders>
              <w:left w:val="single" w:color="auto" w:sz="4" w:space="0"/>
              <w:right w:val="single" w:color="000000" w:sz="4" w:space="0"/>
            </w:tcBorders>
            <w:noWrap w:val="0"/>
            <w:vAlign w:val="top"/>
          </w:tcPr>
          <w:p>
            <w:pPr>
              <w:pageBreakBefore w:val="0"/>
              <w:kinsoku/>
              <w:wordWrap/>
              <w:overflowPunct/>
              <w:topLinePunct w:val="0"/>
              <w:autoSpaceDE/>
              <w:autoSpaceDN/>
              <w:bidi w:val="0"/>
              <w:spacing w:line="560" w:lineRule="exact"/>
              <w:jc w:val="center"/>
              <w:textAlignment w:val="auto"/>
              <w:rPr>
                <w:rFonts w:ascii="仿宋" w:hAnsi="仿宋" w:eastAsia="仿宋" w:cs="宋体"/>
                <w:sz w:val="28"/>
                <w:szCs w:val="28"/>
                <w:highlight w:val="none"/>
              </w:rPr>
            </w:pPr>
            <w:r>
              <w:rPr>
                <w:rFonts w:hint="eastAsia" w:ascii="仿宋" w:hAnsi="仿宋" w:eastAsia="仿宋" w:cs="宋体"/>
                <w:spacing w:val="1"/>
                <w:sz w:val="28"/>
                <w:szCs w:val="28"/>
                <w:highlight w:val="none"/>
              </w:rPr>
              <w:t>分会报告</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7" w:hRule="atLeast"/>
          <w:jc w:val="center"/>
        </w:trPr>
        <w:tc>
          <w:tcPr>
            <w:tcW w:w="3715" w:type="dxa"/>
            <w:tcBorders>
              <w:top w:val="single" w:color="auto" w:sz="4" w:space="0"/>
              <w:left w:val="single" w:color="000000" w:sz="4" w:space="0"/>
              <w:right w:val="single" w:color="000000" w:sz="4" w:space="0"/>
            </w:tcBorders>
            <w:noWrap w:val="0"/>
            <w:vAlign w:val="top"/>
          </w:tcPr>
          <w:p>
            <w:pPr>
              <w:pageBreakBefore w:val="0"/>
              <w:kinsoku/>
              <w:wordWrap/>
              <w:overflowPunct/>
              <w:topLinePunct w:val="0"/>
              <w:autoSpaceDE/>
              <w:autoSpaceDN/>
              <w:bidi w:val="0"/>
              <w:spacing w:line="560" w:lineRule="exact"/>
              <w:jc w:val="center"/>
              <w:textAlignment w:val="auto"/>
              <w:rPr>
                <w:rFonts w:ascii="仿宋" w:hAnsi="仿宋" w:eastAsia="仿宋" w:cs="宋体"/>
                <w:sz w:val="28"/>
                <w:szCs w:val="28"/>
                <w:highlight w:val="none"/>
              </w:rPr>
            </w:pPr>
            <w:r>
              <w:rPr>
                <w:rFonts w:hint="eastAsia" w:ascii="仿宋" w:hAnsi="仿宋" w:eastAsia="仿宋" w:cs="宋体"/>
                <w:spacing w:val="1"/>
                <w:sz w:val="28"/>
                <w:szCs w:val="28"/>
                <w:highlight w:val="none"/>
              </w:rPr>
              <w:t>国际性学术会议</w:t>
            </w:r>
          </w:p>
        </w:tc>
        <w:tc>
          <w:tcPr>
            <w:tcW w:w="2450" w:type="dxa"/>
            <w:tcBorders>
              <w:left w:val="single" w:color="000000" w:sz="4" w:space="0"/>
              <w:right w:val="single" w:color="000000" w:sz="4" w:space="0"/>
            </w:tcBorders>
            <w:noWrap w:val="0"/>
            <w:vAlign w:val="top"/>
          </w:tcPr>
          <w:p>
            <w:pPr>
              <w:pageBreakBefore w:val="0"/>
              <w:kinsoku/>
              <w:wordWrap/>
              <w:overflowPunct/>
              <w:topLinePunct w:val="0"/>
              <w:autoSpaceDE/>
              <w:autoSpaceDN/>
              <w:bidi w:val="0"/>
              <w:spacing w:line="560" w:lineRule="exact"/>
              <w:jc w:val="center"/>
              <w:textAlignment w:val="auto"/>
              <w:rPr>
                <w:rFonts w:ascii="仿宋" w:hAnsi="仿宋" w:eastAsia="仿宋" w:cs="宋体"/>
                <w:spacing w:val="-4"/>
                <w:sz w:val="28"/>
                <w:szCs w:val="28"/>
                <w:highlight w:val="none"/>
              </w:rPr>
            </w:pPr>
            <w:r>
              <w:rPr>
                <w:rFonts w:hint="eastAsia" w:ascii="仿宋" w:hAnsi="仿宋" w:eastAsia="仿宋" w:cs="宋体"/>
                <w:spacing w:val="-4"/>
                <w:sz w:val="28"/>
                <w:szCs w:val="28"/>
                <w:highlight w:val="none"/>
              </w:rPr>
              <w:t>1</w:t>
            </w:r>
            <w:r>
              <w:rPr>
                <w:rFonts w:ascii="仿宋" w:hAnsi="仿宋" w:eastAsia="仿宋" w:cs="宋体"/>
                <w:spacing w:val="-4"/>
                <w:sz w:val="28"/>
                <w:szCs w:val="28"/>
                <w:highlight w:val="none"/>
              </w:rPr>
              <w:t>2</w:t>
            </w:r>
          </w:p>
        </w:tc>
        <w:tc>
          <w:tcPr>
            <w:tcW w:w="2450" w:type="dxa"/>
            <w:tcBorders>
              <w:left w:val="single" w:color="000000" w:sz="4" w:space="0"/>
              <w:right w:val="single" w:color="000000" w:sz="4" w:space="0"/>
            </w:tcBorders>
            <w:noWrap w:val="0"/>
            <w:vAlign w:val="top"/>
          </w:tcPr>
          <w:p>
            <w:pPr>
              <w:pageBreakBefore w:val="0"/>
              <w:kinsoku/>
              <w:wordWrap/>
              <w:overflowPunct/>
              <w:topLinePunct w:val="0"/>
              <w:autoSpaceDE/>
              <w:autoSpaceDN/>
              <w:bidi w:val="0"/>
              <w:spacing w:line="560" w:lineRule="exact"/>
              <w:jc w:val="center"/>
              <w:textAlignment w:val="auto"/>
              <w:rPr>
                <w:rFonts w:ascii="仿宋" w:hAnsi="仿宋" w:eastAsia="仿宋" w:cs="宋体"/>
                <w:sz w:val="28"/>
                <w:szCs w:val="28"/>
                <w:highlight w:val="none"/>
              </w:rPr>
            </w:pPr>
            <w:r>
              <w:rPr>
                <w:rFonts w:ascii="仿宋" w:hAnsi="仿宋" w:eastAsia="仿宋" w:cs="宋体"/>
                <w:spacing w:val="-4"/>
                <w:sz w:val="28"/>
                <w:szCs w:val="28"/>
                <w:highlight w:val="none"/>
              </w:rPr>
              <w:t>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5" w:hRule="atLeast"/>
          <w:jc w:val="center"/>
        </w:trPr>
        <w:tc>
          <w:tcPr>
            <w:tcW w:w="3715" w:type="dxa"/>
            <w:tcBorders>
              <w:left w:val="single" w:color="000000" w:sz="4" w:space="0"/>
              <w:right w:val="single" w:color="000000" w:sz="4" w:space="0"/>
            </w:tcBorders>
            <w:noWrap w:val="0"/>
            <w:vAlign w:val="top"/>
          </w:tcPr>
          <w:p>
            <w:pPr>
              <w:pageBreakBefore w:val="0"/>
              <w:kinsoku/>
              <w:wordWrap/>
              <w:overflowPunct/>
              <w:topLinePunct w:val="0"/>
              <w:autoSpaceDE/>
              <w:autoSpaceDN/>
              <w:bidi w:val="0"/>
              <w:spacing w:line="560" w:lineRule="exact"/>
              <w:jc w:val="center"/>
              <w:textAlignment w:val="auto"/>
              <w:rPr>
                <w:rFonts w:ascii="仿宋" w:hAnsi="仿宋" w:eastAsia="仿宋" w:cs="宋体"/>
                <w:sz w:val="28"/>
                <w:szCs w:val="28"/>
                <w:highlight w:val="none"/>
              </w:rPr>
            </w:pPr>
            <w:r>
              <w:rPr>
                <w:rFonts w:ascii="仿宋" w:hAnsi="仿宋" w:eastAsia="仿宋" w:cs="宋体"/>
                <w:spacing w:val="-2"/>
                <w:sz w:val="28"/>
                <w:szCs w:val="28"/>
                <w:highlight w:val="none"/>
              </w:rPr>
              <w:t>全国</w:t>
            </w:r>
            <w:r>
              <w:rPr>
                <w:rFonts w:hint="eastAsia" w:ascii="仿宋" w:hAnsi="仿宋" w:eastAsia="仿宋" w:cs="宋体"/>
                <w:spacing w:val="-2"/>
                <w:sz w:val="28"/>
                <w:szCs w:val="28"/>
                <w:highlight w:val="none"/>
              </w:rPr>
              <w:t>性学术</w:t>
            </w:r>
            <w:r>
              <w:rPr>
                <w:rFonts w:ascii="仿宋" w:hAnsi="仿宋" w:eastAsia="仿宋" w:cs="宋体"/>
                <w:spacing w:val="-2"/>
                <w:sz w:val="28"/>
                <w:szCs w:val="28"/>
                <w:highlight w:val="none"/>
              </w:rPr>
              <w:t>会议</w:t>
            </w:r>
          </w:p>
        </w:tc>
        <w:tc>
          <w:tcPr>
            <w:tcW w:w="2450" w:type="dxa"/>
            <w:tcBorders>
              <w:left w:val="single" w:color="000000" w:sz="4" w:space="0"/>
              <w:right w:val="single" w:color="000000" w:sz="4" w:space="0"/>
            </w:tcBorders>
            <w:noWrap w:val="0"/>
            <w:vAlign w:val="top"/>
          </w:tcPr>
          <w:p>
            <w:pPr>
              <w:pageBreakBefore w:val="0"/>
              <w:kinsoku/>
              <w:wordWrap/>
              <w:overflowPunct/>
              <w:topLinePunct w:val="0"/>
              <w:autoSpaceDE/>
              <w:autoSpaceDN/>
              <w:bidi w:val="0"/>
              <w:spacing w:line="560" w:lineRule="exact"/>
              <w:jc w:val="center"/>
              <w:textAlignment w:val="auto"/>
              <w:rPr>
                <w:rFonts w:ascii="仿宋" w:hAnsi="仿宋" w:eastAsia="仿宋" w:cs="宋体"/>
                <w:spacing w:val="-6"/>
                <w:sz w:val="28"/>
                <w:szCs w:val="28"/>
                <w:highlight w:val="none"/>
              </w:rPr>
            </w:pPr>
            <w:r>
              <w:rPr>
                <w:rFonts w:hint="eastAsia" w:ascii="仿宋" w:hAnsi="仿宋" w:eastAsia="仿宋" w:cs="宋体"/>
                <w:spacing w:val="-6"/>
                <w:sz w:val="28"/>
                <w:szCs w:val="28"/>
                <w:highlight w:val="none"/>
              </w:rPr>
              <w:t>8</w:t>
            </w:r>
          </w:p>
        </w:tc>
        <w:tc>
          <w:tcPr>
            <w:tcW w:w="2450" w:type="dxa"/>
            <w:tcBorders>
              <w:left w:val="single" w:color="000000" w:sz="4" w:space="0"/>
              <w:right w:val="single" w:color="000000" w:sz="4" w:space="0"/>
            </w:tcBorders>
            <w:noWrap w:val="0"/>
            <w:vAlign w:val="top"/>
          </w:tcPr>
          <w:p>
            <w:pPr>
              <w:pageBreakBefore w:val="0"/>
              <w:kinsoku/>
              <w:wordWrap/>
              <w:overflowPunct/>
              <w:topLinePunct w:val="0"/>
              <w:autoSpaceDE/>
              <w:autoSpaceDN/>
              <w:bidi w:val="0"/>
              <w:spacing w:line="560" w:lineRule="exact"/>
              <w:jc w:val="center"/>
              <w:textAlignment w:val="auto"/>
              <w:rPr>
                <w:rFonts w:ascii="仿宋" w:hAnsi="仿宋" w:eastAsia="仿宋" w:cs="宋体"/>
                <w:sz w:val="28"/>
                <w:szCs w:val="28"/>
                <w:highlight w:val="none"/>
              </w:rPr>
            </w:pPr>
            <w:r>
              <w:rPr>
                <w:rFonts w:ascii="仿宋" w:hAnsi="仿宋" w:eastAsia="仿宋" w:cs="宋体"/>
                <w:spacing w:val="-6"/>
                <w:sz w:val="28"/>
                <w:szCs w:val="28"/>
                <w:highlight w:val="none"/>
              </w:rPr>
              <w:t>6.5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7" w:hRule="atLeast"/>
          <w:jc w:val="center"/>
        </w:trPr>
        <w:tc>
          <w:tcPr>
            <w:tcW w:w="3715" w:type="dxa"/>
            <w:tcBorders>
              <w:left w:val="single" w:color="000000" w:sz="4" w:space="0"/>
              <w:right w:val="single" w:color="000000" w:sz="4" w:space="0"/>
            </w:tcBorders>
            <w:noWrap w:val="0"/>
            <w:vAlign w:val="top"/>
          </w:tcPr>
          <w:p>
            <w:pPr>
              <w:pageBreakBefore w:val="0"/>
              <w:kinsoku/>
              <w:wordWrap/>
              <w:overflowPunct/>
              <w:topLinePunct w:val="0"/>
              <w:autoSpaceDE/>
              <w:autoSpaceDN/>
              <w:bidi w:val="0"/>
              <w:spacing w:line="560" w:lineRule="exact"/>
              <w:jc w:val="center"/>
              <w:textAlignment w:val="auto"/>
              <w:rPr>
                <w:rFonts w:ascii="仿宋" w:hAnsi="仿宋" w:eastAsia="仿宋" w:cs="宋体"/>
                <w:sz w:val="28"/>
                <w:szCs w:val="28"/>
                <w:highlight w:val="none"/>
              </w:rPr>
            </w:pPr>
            <w:r>
              <w:rPr>
                <w:rFonts w:hint="eastAsia" w:ascii="仿宋" w:hAnsi="仿宋" w:eastAsia="仿宋" w:cs="宋体"/>
                <w:spacing w:val="-2"/>
                <w:sz w:val="28"/>
                <w:szCs w:val="28"/>
                <w:highlight w:val="none"/>
              </w:rPr>
              <w:t>地方性学术</w:t>
            </w:r>
            <w:r>
              <w:rPr>
                <w:rFonts w:ascii="仿宋" w:hAnsi="仿宋" w:eastAsia="仿宋" w:cs="宋体"/>
                <w:spacing w:val="-2"/>
                <w:sz w:val="28"/>
                <w:szCs w:val="28"/>
                <w:highlight w:val="none"/>
              </w:rPr>
              <w:t>会议</w:t>
            </w:r>
          </w:p>
        </w:tc>
        <w:tc>
          <w:tcPr>
            <w:tcW w:w="2450" w:type="dxa"/>
            <w:tcBorders>
              <w:left w:val="single" w:color="000000" w:sz="4" w:space="0"/>
              <w:right w:val="single" w:color="000000" w:sz="4" w:space="0"/>
            </w:tcBorders>
            <w:noWrap w:val="0"/>
            <w:vAlign w:val="top"/>
          </w:tcPr>
          <w:p>
            <w:pPr>
              <w:pageBreakBefore w:val="0"/>
              <w:kinsoku/>
              <w:wordWrap/>
              <w:overflowPunct/>
              <w:topLinePunct w:val="0"/>
              <w:autoSpaceDE/>
              <w:autoSpaceDN/>
              <w:bidi w:val="0"/>
              <w:spacing w:line="560" w:lineRule="exact"/>
              <w:jc w:val="center"/>
              <w:textAlignment w:val="auto"/>
              <w:rPr>
                <w:rFonts w:ascii="仿宋" w:hAnsi="仿宋" w:eastAsia="仿宋" w:cs="宋体"/>
                <w:spacing w:val="-4"/>
                <w:sz w:val="28"/>
                <w:szCs w:val="28"/>
                <w:highlight w:val="none"/>
              </w:rPr>
            </w:pPr>
            <w:r>
              <w:rPr>
                <w:rFonts w:hint="eastAsia" w:ascii="仿宋" w:hAnsi="仿宋" w:eastAsia="仿宋" w:cs="宋体"/>
                <w:spacing w:val="-4"/>
                <w:sz w:val="28"/>
                <w:szCs w:val="28"/>
                <w:highlight w:val="none"/>
              </w:rPr>
              <w:t>5</w:t>
            </w:r>
          </w:p>
        </w:tc>
        <w:tc>
          <w:tcPr>
            <w:tcW w:w="2450" w:type="dxa"/>
            <w:tcBorders>
              <w:left w:val="single" w:color="000000" w:sz="4" w:space="0"/>
              <w:right w:val="single" w:color="000000" w:sz="4" w:space="0"/>
            </w:tcBorders>
            <w:noWrap w:val="0"/>
            <w:vAlign w:val="top"/>
          </w:tcPr>
          <w:p>
            <w:pPr>
              <w:pageBreakBefore w:val="0"/>
              <w:kinsoku/>
              <w:wordWrap/>
              <w:overflowPunct/>
              <w:topLinePunct w:val="0"/>
              <w:autoSpaceDE/>
              <w:autoSpaceDN/>
              <w:bidi w:val="0"/>
              <w:spacing w:line="560" w:lineRule="exact"/>
              <w:jc w:val="center"/>
              <w:textAlignment w:val="auto"/>
              <w:rPr>
                <w:rFonts w:ascii="仿宋" w:hAnsi="仿宋" w:eastAsia="仿宋" w:cs="宋体"/>
                <w:sz w:val="28"/>
                <w:szCs w:val="28"/>
                <w:highlight w:val="none"/>
              </w:rPr>
            </w:pPr>
            <w:r>
              <w:rPr>
                <w:rFonts w:ascii="仿宋" w:hAnsi="仿宋" w:eastAsia="仿宋" w:cs="宋体"/>
                <w:spacing w:val="-4"/>
                <w:sz w:val="28"/>
                <w:szCs w:val="28"/>
                <w:highlight w:val="none"/>
              </w:rPr>
              <w:t>3</w:t>
            </w:r>
          </w:p>
        </w:tc>
      </w:tr>
    </w:tbl>
    <w:p>
      <w:pPr>
        <w:pageBreakBefore w:val="0"/>
        <w:widowControl/>
        <w:kinsoku/>
        <w:wordWrap/>
        <w:overflowPunct/>
        <w:topLinePunct w:val="0"/>
        <w:autoSpaceDE/>
        <w:autoSpaceDN/>
        <w:bidi w:val="0"/>
        <w:spacing w:line="560" w:lineRule="exact"/>
        <w:ind w:firstLine="482" w:firstLineChars="200"/>
        <w:textAlignment w:val="auto"/>
        <w:rPr>
          <w:rFonts w:hint="eastAsia" w:ascii="仿宋" w:hAnsi="仿宋" w:eastAsia="仿宋" w:cs="仿宋"/>
          <w:bCs/>
          <w:sz w:val="24"/>
          <w:highlight w:val="none"/>
        </w:rPr>
      </w:pPr>
      <w:r>
        <w:rPr>
          <w:rFonts w:hint="eastAsia" w:ascii="仿宋" w:hAnsi="仿宋" w:eastAsia="仿宋" w:cs="宋体"/>
          <w:b/>
          <w:kern w:val="0"/>
          <w:sz w:val="24"/>
          <w:highlight w:val="none"/>
        </w:rPr>
        <w:t>注：</w:t>
      </w:r>
      <w:r>
        <w:rPr>
          <w:rFonts w:ascii="仿宋" w:hAnsi="仿宋" w:eastAsia="仿宋" w:cs="仿宋"/>
          <w:bCs/>
          <w:sz w:val="24"/>
          <w:highlight w:val="none"/>
        </w:rPr>
        <w:t>学术</w:t>
      </w:r>
      <w:r>
        <w:rPr>
          <w:rFonts w:hint="eastAsia" w:ascii="仿宋" w:hAnsi="仿宋" w:eastAsia="仿宋" w:cs="仿宋"/>
          <w:bCs/>
          <w:sz w:val="24"/>
          <w:highlight w:val="none"/>
        </w:rPr>
        <w:t>会议</w:t>
      </w:r>
      <w:r>
        <w:rPr>
          <w:rFonts w:ascii="仿宋" w:hAnsi="仿宋" w:eastAsia="仿宋" w:cs="仿宋"/>
          <w:bCs/>
          <w:sz w:val="24"/>
          <w:highlight w:val="none"/>
        </w:rPr>
        <w:t>主办</w:t>
      </w:r>
      <w:r>
        <w:rPr>
          <w:rFonts w:hint="eastAsia" w:ascii="仿宋" w:hAnsi="仿宋" w:eastAsia="仿宋" w:cs="仿宋"/>
          <w:bCs/>
          <w:sz w:val="24"/>
          <w:highlight w:val="none"/>
        </w:rPr>
        <w:t>方须为政府部门、专业行业组织机构、高校，正式参会人员不低于</w:t>
      </w:r>
      <w:r>
        <w:rPr>
          <w:rFonts w:ascii="仿宋" w:hAnsi="仿宋" w:eastAsia="仿宋" w:cs="仿宋"/>
          <w:bCs/>
          <w:sz w:val="24"/>
          <w:highlight w:val="none"/>
        </w:rPr>
        <w:t>30</w:t>
      </w:r>
      <w:r>
        <w:rPr>
          <w:rFonts w:hint="eastAsia" w:ascii="仿宋" w:hAnsi="仿宋" w:eastAsia="仿宋" w:cs="仿宋"/>
          <w:bCs/>
          <w:sz w:val="24"/>
          <w:highlight w:val="none"/>
        </w:rPr>
        <w:t>人。会议类别认定以会议主办方性质、参会人员范围、会议通知为依据，国际性学术会议受邀参会人员须来自于3个或3个以上国家和地区（不含港、澳、台地区）。在</w:t>
      </w:r>
      <w:r>
        <w:rPr>
          <w:rFonts w:ascii="仿宋" w:hAnsi="仿宋" w:eastAsia="仿宋" w:cs="仿宋"/>
          <w:bCs/>
          <w:sz w:val="24"/>
          <w:highlight w:val="none"/>
        </w:rPr>
        <w:t>职称晋级评聘工作中，提交</w:t>
      </w:r>
      <w:r>
        <w:rPr>
          <w:rFonts w:hint="eastAsia" w:ascii="仿宋" w:hAnsi="仿宋" w:eastAsia="仿宋" w:cs="仿宋"/>
          <w:bCs/>
          <w:sz w:val="24"/>
          <w:highlight w:val="none"/>
        </w:rPr>
        <w:t>学术会议论文</w:t>
      </w:r>
      <w:r>
        <w:rPr>
          <w:rFonts w:ascii="仿宋" w:hAnsi="仿宋" w:eastAsia="仿宋" w:cs="仿宋"/>
          <w:bCs/>
          <w:sz w:val="24"/>
          <w:highlight w:val="none"/>
        </w:rPr>
        <w:t>作为</w:t>
      </w:r>
      <w:r>
        <w:rPr>
          <w:rFonts w:hint="eastAsia" w:ascii="仿宋" w:hAnsi="仿宋" w:eastAsia="仿宋" w:cs="仿宋"/>
          <w:bCs/>
          <w:sz w:val="24"/>
          <w:highlight w:val="none"/>
        </w:rPr>
        <w:t>赋分</w:t>
      </w:r>
      <w:r>
        <w:rPr>
          <w:rFonts w:ascii="仿宋" w:hAnsi="仿宋" w:eastAsia="仿宋" w:cs="仿宋"/>
          <w:bCs/>
          <w:sz w:val="24"/>
          <w:highlight w:val="none"/>
        </w:rPr>
        <w:t>成果</w:t>
      </w:r>
      <w:r>
        <w:rPr>
          <w:rFonts w:hint="eastAsia" w:ascii="仿宋" w:hAnsi="仿宋" w:eastAsia="仿宋" w:cs="仿宋"/>
          <w:bCs/>
          <w:sz w:val="24"/>
          <w:highlight w:val="none"/>
        </w:rPr>
        <w:t>不得超过1</w:t>
      </w:r>
      <w:r>
        <w:rPr>
          <w:rFonts w:ascii="仿宋" w:hAnsi="仿宋" w:eastAsia="仿宋" w:cs="仿宋"/>
          <w:bCs/>
          <w:sz w:val="24"/>
          <w:highlight w:val="none"/>
        </w:rPr>
        <w:t>篇。</w:t>
      </w:r>
    </w:p>
    <w:p>
      <w:pPr>
        <w:pageBreakBefore w:val="0"/>
        <w:numPr>
          <w:ilvl w:val="0"/>
          <w:numId w:val="4"/>
        </w:numPr>
        <w:kinsoku/>
        <w:wordWrap/>
        <w:overflowPunct/>
        <w:topLinePunct w:val="0"/>
        <w:autoSpaceDE/>
        <w:autoSpaceDN/>
        <w:bidi w:val="0"/>
        <w:spacing w:line="560" w:lineRule="exact"/>
        <w:ind w:left="0" w:leftChars="0" w:firstLine="0" w:firstLineChars="0"/>
        <w:jc w:val="both"/>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艺术创作与实践成果认定</w:t>
      </w:r>
    </w:p>
    <w:p>
      <w:pPr>
        <w:pageBreakBefore w:val="0"/>
        <w:numPr>
          <w:ilvl w:val="0"/>
          <w:numId w:val="0"/>
        </w:numPr>
        <w:kinsoku/>
        <w:wordWrap/>
        <w:overflowPunct/>
        <w:topLinePunct w:val="0"/>
        <w:autoSpaceDE/>
        <w:autoSpaceDN/>
        <w:bidi w:val="0"/>
        <w:spacing w:line="560" w:lineRule="exact"/>
        <w:ind w:leftChars="0" w:firstLine="640" w:firstLineChars="200"/>
        <w:jc w:val="both"/>
        <w:textAlignment w:val="auto"/>
        <w:rPr>
          <w:rFonts w:hint="default"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艺术创作与实践成果具体级别、等级认定以内蒙古艺术学院科研处解释为准。</w:t>
      </w:r>
    </w:p>
    <w:p>
      <w:pPr>
        <w:pageBreakBefore w:val="0"/>
        <w:kinsoku/>
        <w:wordWrap/>
        <w:overflowPunct/>
        <w:topLinePunct w:val="0"/>
        <w:autoSpaceDE/>
        <w:autoSpaceDN/>
        <w:bidi w:val="0"/>
        <w:spacing w:line="560" w:lineRule="exact"/>
        <w:jc w:val="center"/>
        <w:textAlignment w:val="auto"/>
        <w:rPr>
          <w:rFonts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专业成果分级和分值（艺术实践与创作）</w:t>
      </w:r>
    </w:p>
    <w:tbl>
      <w:tblPr>
        <w:tblStyle w:val="4"/>
        <w:tblW w:w="9540" w:type="dxa"/>
        <w:tblInd w:w="-17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5"/>
        <w:gridCol w:w="684"/>
        <w:gridCol w:w="2705"/>
        <w:gridCol w:w="549"/>
        <w:gridCol w:w="1175"/>
        <w:gridCol w:w="92"/>
        <w:gridCol w:w="1980"/>
        <w:gridCol w:w="17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615" w:type="dxa"/>
            <w:noWrap w:val="0"/>
            <w:vAlign w:val="center"/>
          </w:tcPr>
          <w:p>
            <w:pPr>
              <w:pageBreakBefore w:val="0"/>
              <w:kinsoku/>
              <w:wordWrap/>
              <w:overflowPunct/>
              <w:topLinePunct w:val="0"/>
              <w:autoSpaceDE/>
              <w:autoSpaceDN/>
              <w:bidi w:val="0"/>
              <w:adjustRightInd w:val="0"/>
              <w:snapToGrid w:val="0"/>
              <w:spacing w:line="560" w:lineRule="exact"/>
              <w:jc w:val="center"/>
              <w:textAlignment w:val="auto"/>
              <w:rPr>
                <w:highlight w:val="none"/>
              </w:rPr>
            </w:pPr>
            <w:r>
              <w:rPr>
                <w:rFonts w:hint="eastAsia"/>
                <w:highlight w:val="none"/>
              </w:rPr>
              <w:t>条件</w:t>
            </w:r>
          </w:p>
        </w:tc>
        <w:tc>
          <w:tcPr>
            <w:tcW w:w="3389" w:type="dxa"/>
            <w:gridSpan w:val="2"/>
            <w:noWrap w:val="0"/>
            <w:vAlign w:val="center"/>
          </w:tcPr>
          <w:p>
            <w:pPr>
              <w:pageBreakBefore w:val="0"/>
              <w:kinsoku/>
              <w:wordWrap/>
              <w:overflowPunct/>
              <w:topLinePunct w:val="0"/>
              <w:autoSpaceDE/>
              <w:autoSpaceDN/>
              <w:bidi w:val="0"/>
              <w:adjustRightInd w:val="0"/>
              <w:snapToGrid w:val="0"/>
              <w:spacing w:line="560" w:lineRule="exact"/>
              <w:jc w:val="center"/>
              <w:textAlignment w:val="auto"/>
              <w:rPr>
                <w:highlight w:val="none"/>
              </w:rPr>
            </w:pPr>
            <w:r>
              <w:rPr>
                <w:rFonts w:hint="eastAsia"/>
                <w:highlight w:val="none"/>
              </w:rPr>
              <w:t>项目</w:t>
            </w:r>
          </w:p>
        </w:tc>
        <w:tc>
          <w:tcPr>
            <w:tcW w:w="1816" w:type="dxa"/>
            <w:gridSpan w:val="3"/>
            <w:noWrap w:val="0"/>
            <w:vAlign w:val="center"/>
          </w:tcPr>
          <w:p>
            <w:pPr>
              <w:pageBreakBefore w:val="0"/>
              <w:kinsoku/>
              <w:wordWrap/>
              <w:overflowPunct/>
              <w:topLinePunct w:val="0"/>
              <w:autoSpaceDE/>
              <w:autoSpaceDN/>
              <w:bidi w:val="0"/>
              <w:adjustRightInd w:val="0"/>
              <w:snapToGrid w:val="0"/>
              <w:spacing w:line="560" w:lineRule="exact"/>
              <w:jc w:val="center"/>
              <w:textAlignment w:val="auto"/>
              <w:rPr>
                <w:highlight w:val="none"/>
              </w:rPr>
            </w:pPr>
            <w:r>
              <w:rPr>
                <w:rFonts w:hint="eastAsia"/>
                <w:highlight w:val="none"/>
              </w:rPr>
              <w:t>分级</w:t>
            </w:r>
          </w:p>
        </w:tc>
        <w:tc>
          <w:tcPr>
            <w:tcW w:w="1980" w:type="dxa"/>
            <w:noWrap w:val="0"/>
            <w:vAlign w:val="center"/>
          </w:tcPr>
          <w:p>
            <w:pPr>
              <w:pageBreakBefore w:val="0"/>
              <w:kinsoku/>
              <w:wordWrap/>
              <w:overflowPunct/>
              <w:topLinePunct w:val="0"/>
              <w:autoSpaceDE/>
              <w:autoSpaceDN/>
              <w:bidi w:val="0"/>
              <w:adjustRightInd w:val="0"/>
              <w:snapToGrid w:val="0"/>
              <w:spacing w:line="560" w:lineRule="exact"/>
              <w:jc w:val="center"/>
              <w:textAlignment w:val="auto"/>
              <w:rPr>
                <w:highlight w:val="none"/>
              </w:rPr>
            </w:pPr>
            <w:r>
              <w:rPr>
                <w:rFonts w:hint="eastAsia"/>
                <w:highlight w:val="none"/>
              </w:rPr>
              <w:t>等级</w:t>
            </w:r>
          </w:p>
        </w:tc>
        <w:tc>
          <w:tcPr>
            <w:tcW w:w="1740" w:type="dxa"/>
            <w:noWrap w:val="0"/>
            <w:vAlign w:val="center"/>
          </w:tcPr>
          <w:p>
            <w:pPr>
              <w:pageBreakBefore w:val="0"/>
              <w:kinsoku/>
              <w:wordWrap/>
              <w:overflowPunct/>
              <w:topLinePunct w:val="0"/>
              <w:autoSpaceDE/>
              <w:autoSpaceDN/>
              <w:bidi w:val="0"/>
              <w:adjustRightInd w:val="0"/>
              <w:snapToGrid w:val="0"/>
              <w:spacing w:line="560" w:lineRule="exact"/>
              <w:jc w:val="center"/>
              <w:textAlignment w:val="auto"/>
              <w:rPr>
                <w:highlight w:val="none"/>
              </w:rPr>
            </w:pPr>
            <w:r>
              <w:rPr>
                <w:rFonts w:hint="eastAsia"/>
                <w:highlight w:val="none"/>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615" w:type="dxa"/>
            <w:vMerge w:val="restart"/>
            <w:noWrap w:val="0"/>
            <w:vAlign w:val="center"/>
          </w:tcPr>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艺术</w:t>
            </w:r>
          </w:p>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实践</w:t>
            </w:r>
          </w:p>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与创</w:t>
            </w:r>
          </w:p>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作类</w:t>
            </w:r>
          </w:p>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（不设等级的奖项比照同类别一等奖赋分）</w:t>
            </w:r>
          </w:p>
        </w:tc>
        <w:tc>
          <w:tcPr>
            <w:tcW w:w="3389" w:type="dxa"/>
            <w:gridSpan w:val="2"/>
            <w:vMerge w:val="restart"/>
            <w:noWrap w:val="0"/>
            <w:vAlign w:val="center"/>
          </w:tcPr>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大型舞台艺术创作获奖</w:t>
            </w:r>
          </w:p>
        </w:tc>
        <w:tc>
          <w:tcPr>
            <w:tcW w:w="1816" w:type="dxa"/>
            <w:gridSpan w:val="3"/>
            <w:vMerge w:val="restart"/>
            <w:noWrap w:val="0"/>
            <w:vAlign w:val="center"/>
          </w:tcPr>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文华奖、全国五个一工程奖等</w:t>
            </w:r>
          </w:p>
        </w:tc>
        <w:tc>
          <w:tcPr>
            <w:tcW w:w="1980" w:type="dxa"/>
            <w:noWrap w:val="0"/>
            <w:vAlign w:val="center"/>
          </w:tcPr>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负责人</w:t>
            </w:r>
          </w:p>
        </w:tc>
        <w:tc>
          <w:tcPr>
            <w:tcW w:w="1740" w:type="dxa"/>
            <w:noWrap w:val="0"/>
            <w:vAlign w:val="center"/>
          </w:tcPr>
          <w:p>
            <w:pPr>
              <w:pageBreakBefore w:val="0"/>
              <w:kinsoku/>
              <w:wordWrap/>
              <w:overflowPunct/>
              <w:topLinePunct w:val="0"/>
              <w:autoSpaceDE/>
              <w:autoSpaceDN/>
              <w:bidi w:val="0"/>
              <w:spacing w:line="560" w:lineRule="exact"/>
              <w:jc w:val="center"/>
              <w:textAlignment w:val="auto"/>
              <w:rPr>
                <w:highlight w:val="none"/>
              </w:rPr>
            </w:pPr>
            <w:r>
              <w:rPr>
                <w:highlight w:val="none"/>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615"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3389" w:type="dxa"/>
            <w:gridSpan w:val="2"/>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1816" w:type="dxa"/>
            <w:gridSpan w:val="3"/>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1980" w:type="dxa"/>
            <w:noWrap w:val="0"/>
            <w:vAlign w:val="center"/>
          </w:tcPr>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成员</w:t>
            </w:r>
          </w:p>
        </w:tc>
        <w:tc>
          <w:tcPr>
            <w:tcW w:w="1740" w:type="dxa"/>
            <w:noWrap w:val="0"/>
            <w:vAlign w:val="center"/>
          </w:tcPr>
          <w:p>
            <w:pPr>
              <w:pageBreakBefore w:val="0"/>
              <w:kinsoku/>
              <w:wordWrap/>
              <w:overflowPunct/>
              <w:topLinePunct w:val="0"/>
              <w:autoSpaceDE/>
              <w:autoSpaceDN/>
              <w:bidi w:val="0"/>
              <w:spacing w:line="560" w:lineRule="exact"/>
              <w:jc w:val="center"/>
              <w:textAlignment w:val="auto"/>
              <w:rPr>
                <w:highlight w:val="none"/>
              </w:rPr>
            </w:pPr>
            <w:r>
              <w:rPr>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615"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684" w:type="dxa"/>
            <w:vMerge w:val="restart"/>
            <w:noWrap w:val="0"/>
            <w:vAlign w:val="center"/>
          </w:tcPr>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艺术实践</w:t>
            </w:r>
          </w:p>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与创作获奖</w:t>
            </w:r>
            <w:r>
              <w:rPr>
                <w:highlight w:val="none"/>
              </w:rPr>
              <w:t>/</w:t>
            </w:r>
            <w:r>
              <w:rPr>
                <w:rFonts w:hint="eastAsia"/>
                <w:highlight w:val="none"/>
              </w:rPr>
              <w:t>指导学生获艺术实践</w:t>
            </w:r>
          </w:p>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与创作获奖</w:t>
            </w:r>
          </w:p>
        </w:tc>
        <w:tc>
          <w:tcPr>
            <w:tcW w:w="2705" w:type="dxa"/>
            <w:vMerge w:val="restart"/>
            <w:noWrap w:val="0"/>
            <w:vAlign w:val="center"/>
          </w:tcPr>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政府常设奖项</w:t>
            </w:r>
            <w:r>
              <w:rPr>
                <w:highlight w:val="none"/>
              </w:rPr>
              <w:t>/</w:t>
            </w:r>
            <w:r>
              <w:rPr>
                <w:rFonts w:hint="eastAsia"/>
                <w:highlight w:val="none"/>
              </w:rPr>
              <w:t>教师指导学生获政府常设奖项</w:t>
            </w:r>
          </w:p>
        </w:tc>
        <w:tc>
          <w:tcPr>
            <w:tcW w:w="1816" w:type="dxa"/>
            <w:gridSpan w:val="3"/>
            <w:vMerge w:val="restart"/>
            <w:noWrap w:val="0"/>
            <w:vAlign w:val="center"/>
          </w:tcPr>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国家级</w:t>
            </w:r>
          </w:p>
        </w:tc>
        <w:tc>
          <w:tcPr>
            <w:tcW w:w="1980" w:type="dxa"/>
            <w:noWrap w:val="0"/>
            <w:vAlign w:val="center"/>
          </w:tcPr>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一等奖</w:t>
            </w:r>
          </w:p>
        </w:tc>
        <w:tc>
          <w:tcPr>
            <w:tcW w:w="1740" w:type="dxa"/>
            <w:noWrap w:val="0"/>
            <w:vAlign w:val="center"/>
          </w:tcPr>
          <w:p>
            <w:pPr>
              <w:pageBreakBefore w:val="0"/>
              <w:kinsoku/>
              <w:wordWrap/>
              <w:overflowPunct/>
              <w:topLinePunct w:val="0"/>
              <w:autoSpaceDE/>
              <w:autoSpaceDN/>
              <w:bidi w:val="0"/>
              <w:spacing w:line="560" w:lineRule="exact"/>
              <w:jc w:val="center"/>
              <w:textAlignment w:val="auto"/>
              <w:rPr>
                <w:highlight w:val="none"/>
              </w:rPr>
            </w:pPr>
            <w:r>
              <w:rPr>
                <w:highlight w:val="none"/>
              </w:rPr>
              <w:t>15/10.5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615"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684"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2705"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1816" w:type="dxa"/>
            <w:gridSpan w:val="3"/>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1980" w:type="dxa"/>
            <w:noWrap w:val="0"/>
            <w:vAlign w:val="center"/>
          </w:tcPr>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二等奖</w:t>
            </w:r>
          </w:p>
        </w:tc>
        <w:tc>
          <w:tcPr>
            <w:tcW w:w="1740" w:type="dxa"/>
            <w:noWrap w:val="0"/>
            <w:vAlign w:val="center"/>
          </w:tcPr>
          <w:p>
            <w:pPr>
              <w:pageBreakBefore w:val="0"/>
              <w:kinsoku/>
              <w:wordWrap/>
              <w:overflowPunct/>
              <w:topLinePunct w:val="0"/>
              <w:autoSpaceDE/>
              <w:autoSpaceDN/>
              <w:bidi w:val="0"/>
              <w:spacing w:line="560" w:lineRule="exact"/>
              <w:jc w:val="center"/>
              <w:textAlignment w:val="auto"/>
              <w:rPr>
                <w:highlight w:val="none"/>
              </w:rPr>
            </w:pPr>
            <w:r>
              <w:rPr>
                <w:highlight w:val="none"/>
              </w:rPr>
              <w:t>13/9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615"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684"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2705"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1816" w:type="dxa"/>
            <w:gridSpan w:val="3"/>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1980" w:type="dxa"/>
            <w:noWrap w:val="0"/>
            <w:vAlign w:val="center"/>
          </w:tcPr>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三等奖</w:t>
            </w:r>
          </w:p>
        </w:tc>
        <w:tc>
          <w:tcPr>
            <w:tcW w:w="1740" w:type="dxa"/>
            <w:noWrap w:val="0"/>
            <w:vAlign w:val="center"/>
          </w:tcPr>
          <w:p>
            <w:pPr>
              <w:pageBreakBefore w:val="0"/>
              <w:kinsoku/>
              <w:wordWrap/>
              <w:overflowPunct/>
              <w:topLinePunct w:val="0"/>
              <w:autoSpaceDE/>
              <w:autoSpaceDN/>
              <w:bidi w:val="0"/>
              <w:spacing w:line="560" w:lineRule="exact"/>
              <w:jc w:val="center"/>
              <w:textAlignment w:val="auto"/>
              <w:rPr>
                <w:highlight w:val="none"/>
              </w:rPr>
            </w:pPr>
            <w:r>
              <w:rPr>
                <w:highlight w:val="none"/>
              </w:rPr>
              <w:t>11/7.5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615"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684"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2705"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1816" w:type="dxa"/>
            <w:gridSpan w:val="3"/>
            <w:noWrap w:val="0"/>
            <w:vAlign w:val="center"/>
          </w:tcPr>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省部级</w:t>
            </w:r>
          </w:p>
        </w:tc>
        <w:tc>
          <w:tcPr>
            <w:tcW w:w="3720" w:type="dxa"/>
            <w:gridSpan w:val="2"/>
            <w:noWrap w:val="0"/>
            <w:vAlign w:val="center"/>
          </w:tcPr>
          <w:p>
            <w:pPr>
              <w:pageBreakBefore w:val="0"/>
              <w:kinsoku/>
              <w:wordWrap/>
              <w:overflowPunct/>
              <w:topLinePunct w:val="0"/>
              <w:autoSpaceDE/>
              <w:autoSpaceDN/>
              <w:bidi w:val="0"/>
              <w:spacing w:line="560" w:lineRule="exact"/>
              <w:jc w:val="center"/>
              <w:textAlignment w:val="auto"/>
              <w:rPr>
                <w:highlight w:val="none"/>
              </w:rPr>
            </w:pPr>
            <w:r>
              <w:rPr>
                <w:highlight w:val="none"/>
              </w:rPr>
              <w:t>12/8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615"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684"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2705" w:type="dxa"/>
            <w:vMerge w:val="restart"/>
            <w:noWrap w:val="0"/>
            <w:vAlign w:val="center"/>
          </w:tcPr>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专业行业协会奖</w:t>
            </w:r>
            <w:r>
              <w:rPr>
                <w:highlight w:val="none"/>
              </w:rPr>
              <w:t>/</w:t>
            </w:r>
            <w:r>
              <w:rPr>
                <w:rFonts w:hint="eastAsia"/>
                <w:highlight w:val="none"/>
              </w:rPr>
              <w:t>教师指导学生获专业行业协会奖</w:t>
            </w:r>
          </w:p>
        </w:tc>
        <w:tc>
          <w:tcPr>
            <w:tcW w:w="549" w:type="dxa"/>
            <w:vMerge w:val="restart"/>
            <w:noWrap w:val="0"/>
            <w:vAlign w:val="center"/>
          </w:tcPr>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国家级</w:t>
            </w:r>
          </w:p>
        </w:tc>
        <w:tc>
          <w:tcPr>
            <w:tcW w:w="1267" w:type="dxa"/>
            <w:gridSpan w:val="2"/>
            <w:vMerge w:val="restart"/>
            <w:noWrap w:val="0"/>
            <w:vAlign w:val="center"/>
          </w:tcPr>
          <w:p>
            <w:pPr>
              <w:pageBreakBefore w:val="0"/>
              <w:kinsoku/>
              <w:wordWrap/>
              <w:overflowPunct/>
              <w:topLinePunct w:val="0"/>
              <w:autoSpaceDE/>
              <w:autoSpaceDN/>
              <w:bidi w:val="0"/>
              <w:spacing w:line="560" w:lineRule="exact"/>
              <w:jc w:val="center"/>
              <w:textAlignment w:val="auto"/>
              <w:rPr>
                <w:highlight w:val="none"/>
              </w:rPr>
            </w:pPr>
            <w:r>
              <w:rPr>
                <w:highlight w:val="none"/>
              </w:rPr>
              <w:t>1</w:t>
            </w:r>
            <w:r>
              <w:rPr>
                <w:rFonts w:hint="eastAsia"/>
                <w:highlight w:val="none"/>
              </w:rPr>
              <w:t>类</w:t>
            </w:r>
          </w:p>
        </w:tc>
        <w:tc>
          <w:tcPr>
            <w:tcW w:w="1980" w:type="dxa"/>
            <w:noWrap w:val="0"/>
            <w:vAlign w:val="center"/>
          </w:tcPr>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一等奖</w:t>
            </w:r>
          </w:p>
        </w:tc>
        <w:tc>
          <w:tcPr>
            <w:tcW w:w="1740" w:type="dxa"/>
            <w:noWrap w:val="0"/>
            <w:vAlign w:val="center"/>
          </w:tcPr>
          <w:p>
            <w:pPr>
              <w:pageBreakBefore w:val="0"/>
              <w:kinsoku/>
              <w:wordWrap/>
              <w:overflowPunct/>
              <w:topLinePunct w:val="0"/>
              <w:autoSpaceDE/>
              <w:autoSpaceDN/>
              <w:bidi w:val="0"/>
              <w:spacing w:line="560" w:lineRule="exact"/>
              <w:jc w:val="center"/>
              <w:textAlignment w:val="auto"/>
              <w:rPr>
                <w:highlight w:val="none"/>
              </w:rPr>
            </w:pPr>
            <w:r>
              <w:rPr>
                <w:highlight w:val="none"/>
              </w:rPr>
              <w:t>12/8.5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615"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684"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2705"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549"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1267" w:type="dxa"/>
            <w:gridSpan w:val="2"/>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1980" w:type="dxa"/>
            <w:noWrap w:val="0"/>
            <w:vAlign w:val="center"/>
          </w:tcPr>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二等奖</w:t>
            </w:r>
          </w:p>
        </w:tc>
        <w:tc>
          <w:tcPr>
            <w:tcW w:w="1740" w:type="dxa"/>
            <w:noWrap w:val="0"/>
            <w:vAlign w:val="center"/>
          </w:tcPr>
          <w:p>
            <w:pPr>
              <w:pageBreakBefore w:val="0"/>
              <w:kinsoku/>
              <w:wordWrap/>
              <w:overflowPunct/>
              <w:topLinePunct w:val="0"/>
              <w:autoSpaceDE/>
              <w:autoSpaceDN/>
              <w:bidi w:val="0"/>
              <w:spacing w:line="560" w:lineRule="exact"/>
              <w:jc w:val="center"/>
              <w:textAlignment w:val="auto"/>
              <w:rPr>
                <w:highlight w:val="none"/>
              </w:rPr>
            </w:pPr>
            <w:r>
              <w:rPr>
                <w:highlight w:val="none"/>
              </w:rPr>
              <w:t>10/7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615"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684"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2705"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549"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1267" w:type="dxa"/>
            <w:gridSpan w:val="2"/>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1980" w:type="dxa"/>
            <w:noWrap w:val="0"/>
            <w:vAlign w:val="center"/>
          </w:tcPr>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三等奖</w:t>
            </w:r>
          </w:p>
        </w:tc>
        <w:tc>
          <w:tcPr>
            <w:tcW w:w="1740" w:type="dxa"/>
            <w:noWrap w:val="0"/>
            <w:vAlign w:val="center"/>
          </w:tcPr>
          <w:p>
            <w:pPr>
              <w:pageBreakBefore w:val="0"/>
              <w:kinsoku/>
              <w:wordWrap/>
              <w:overflowPunct/>
              <w:topLinePunct w:val="0"/>
              <w:autoSpaceDE/>
              <w:autoSpaceDN/>
              <w:bidi w:val="0"/>
              <w:spacing w:line="560" w:lineRule="exact"/>
              <w:jc w:val="center"/>
              <w:textAlignment w:val="auto"/>
              <w:rPr>
                <w:highlight w:val="none"/>
              </w:rPr>
            </w:pPr>
            <w:r>
              <w:rPr>
                <w:highlight w:val="none"/>
              </w:rPr>
              <w:t>8/5.5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615"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684"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2705"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549"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1267" w:type="dxa"/>
            <w:gridSpan w:val="2"/>
            <w:vMerge w:val="restart"/>
            <w:noWrap w:val="0"/>
            <w:vAlign w:val="center"/>
          </w:tcPr>
          <w:p>
            <w:pPr>
              <w:pageBreakBefore w:val="0"/>
              <w:kinsoku/>
              <w:wordWrap/>
              <w:overflowPunct/>
              <w:topLinePunct w:val="0"/>
              <w:autoSpaceDE/>
              <w:autoSpaceDN/>
              <w:bidi w:val="0"/>
              <w:spacing w:line="560" w:lineRule="exact"/>
              <w:jc w:val="center"/>
              <w:textAlignment w:val="auto"/>
              <w:rPr>
                <w:highlight w:val="none"/>
              </w:rPr>
            </w:pPr>
            <w:r>
              <w:rPr>
                <w:highlight w:val="none"/>
              </w:rPr>
              <w:t>2</w:t>
            </w:r>
            <w:r>
              <w:rPr>
                <w:rFonts w:hint="eastAsia"/>
                <w:highlight w:val="none"/>
              </w:rPr>
              <w:t>类</w:t>
            </w:r>
          </w:p>
        </w:tc>
        <w:tc>
          <w:tcPr>
            <w:tcW w:w="1980" w:type="dxa"/>
            <w:noWrap w:val="0"/>
            <w:vAlign w:val="center"/>
          </w:tcPr>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一等奖</w:t>
            </w:r>
          </w:p>
        </w:tc>
        <w:tc>
          <w:tcPr>
            <w:tcW w:w="1740" w:type="dxa"/>
            <w:noWrap w:val="0"/>
            <w:vAlign w:val="center"/>
          </w:tcPr>
          <w:p>
            <w:pPr>
              <w:pageBreakBefore w:val="0"/>
              <w:kinsoku/>
              <w:wordWrap/>
              <w:overflowPunct/>
              <w:topLinePunct w:val="0"/>
              <w:autoSpaceDE/>
              <w:autoSpaceDN/>
              <w:bidi w:val="0"/>
              <w:spacing w:line="560" w:lineRule="exact"/>
              <w:jc w:val="center"/>
              <w:textAlignment w:val="auto"/>
              <w:rPr>
                <w:highlight w:val="none"/>
              </w:rPr>
            </w:pPr>
            <w:r>
              <w:rPr>
                <w:highlight w:val="none"/>
              </w:rPr>
              <w:t>10/7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615"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684"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2705"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549"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1267" w:type="dxa"/>
            <w:gridSpan w:val="2"/>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1980" w:type="dxa"/>
            <w:noWrap w:val="0"/>
            <w:vAlign w:val="center"/>
          </w:tcPr>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二等奖</w:t>
            </w:r>
          </w:p>
        </w:tc>
        <w:tc>
          <w:tcPr>
            <w:tcW w:w="1740" w:type="dxa"/>
            <w:noWrap w:val="0"/>
            <w:vAlign w:val="center"/>
          </w:tcPr>
          <w:p>
            <w:pPr>
              <w:pageBreakBefore w:val="0"/>
              <w:kinsoku/>
              <w:wordWrap/>
              <w:overflowPunct/>
              <w:topLinePunct w:val="0"/>
              <w:autoSpaceDE/>
              <w:autoSpaceDN/>
              <w:bidi w:val="0"/>
              <w:spacing w:line="560" w:lineRule="exact"/>
              <w:jc w:val="center"/>
              <w:textAlignment w:val="auto"/>
              <w:rPr>
                <w:highlight w:val="none"/>
              </w:rPr>
            </w:pPr>
            <w:r>
              <w:rPr>
                <w:highlight w:val="none"/>
              </w:rPr>
              <w:t>8/5.5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615"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684"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2705"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549"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1267" w:type="dxa"/>
            <w:gridSpan w:val="2"/>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1980" w:type="dxa"/>
            <w:noWrap w:val="0"/>
            <w:vAlign w:val="center"/>
          </w:tcPr>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三等奖</w:t>
            </w:r>
          </w:p>
        </w:tc>
        <w:tc>
          <w:tcPr>
            <w:tcW w:w="1740" w:type="dxa"/>
            <w:noWrap w:val="0"/>
            <w:vAlign w:val="center"/>
          </w:tcPr>
          <w:p>
            <w:pPr>
              <w:pageBreakBefore w:val="0"/>
              <w:kinsoku/>
              <w:wordWrap/>
              <w:overflowPunct/>
              <w:topLinePunct w:val="0"/>
              <w:autoSpaceDE/>
              <w:autoSpaceDN/>
              <w:bidi w:val="0"/>
              <w:spacing w:line="560" w:lineRule="exact"/>
              <w:jc w:val="center"/>
              <w:textAlignment w:val="auto"/>
              <w:rPr>
                <w:highlight w:val="none"/>
              </w:rPr>
            </w:pPr>
            <w:r>
              <w:rPr>
                <w:highlight w:val="none"/>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615"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684"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2705"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549"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1267" w:type="dxa"/>
            <w:gridSpan w:val="2"/>
            <w:vMerge w:val="restart"/>
            <w:noWrap w:val="0"/>
            <w:vAlign w:val="center"/>
          </w:tcPr>
          <w:p>
            <w:pPr>
              <w:pageBreakBefore w:val="0"/>
              <w:kinsoku/>
              <w:wordWrap/>
              <w:overflowPunct/>
              <w:topLinePunct w:val="0"/>
              <w:autoSpaceDE/>
              <w:autoSpaceDN/>
              <w:bidi w:val="0"/>
              <w:spacing w:line="560" w:lineRule="exact"/>
              <w:jc w:val="center"/>
              <w:textAlignment w:val="auto"/>
              <w:rPr>
                <w:highlight w:val="none"/>
              </w:rPr>
            </w:pPr>
            <w:r>
              <w:rPr>
                <w:highlight w:val="none"/>
              </w:rPr>
              <w:t>3</w:t>
            </w:r>
            <w:r>
              <w:rPr>
                <w:rFonts w:hint="eastAsia"/>
                <w:highlight w:val="none"/>
              </w:rPr>
              <w:t>类</w:t>
            </w:r>
          </w:p>
        </w:tc>
        <w:tc>
          <w:tcPr>
            <w:tcW w:w="1980" w:type="dxa"/>
            <w:noWrap w:val="0"/>
            <w:vAlign w:val="center"/>
          </w:tcPr>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一等奖</w:t>
            </w:r>
          </w:p>
        </w:tc>
        <w:tc>
          <w:tcPr>
            <w:tcW w:w="1740" w:type="dxa"/>
            <w:noWrap w:val="0"/>
            <w:vAlign w:val="center"/>
          </w:tcPr>
          <w:p>
            <w:pPr>
              <w:pageBreakBefore w:val="0"/>
              <w:kinsoku/>
              <w:wordWrap/>
              <w:overflowPunct/>
              <w:topLinePunct w:val="0"/>
              <w:autoSpaceDE/>
              <w:autoSpaceDN/>
              <w:bidi w:val="0"/>
              <w:spacing w:line="560" w:lineRule="exact"/>
              <w:jc w:val="center"/>
              <w:textAlignment w:val="auto"/>
              <w:rPr>
                <w:highlight w:val="none"/>
              </w:rPr>
            </w:pPr>
            <w:r>
              <w:rPr>
                <w:highlight w:val="none"/>
              </w:rPr>
              <w:t>8/5.5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615"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684"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2705"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549"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1267" w:type="dxa"/>
            <w:gridSpan w:val="2"/>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1980" w:type="dxa"/>
            <w:noWrap w:val="0"/>
            <w:vAlign w:val="center"/>
          </w:tcPr>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二等奖</w:t>
            </w:r>
          </w:p>
        </w:tc>
        <w:tc>
          <w:tcPr>
            <w:tcW w:w="1740" w:type="dxa"/>
            <w:noWrap w:val="0"/>
            <w:vAlign w:val="center"/>
          </w:tcPr>
          <w:p>
            <w:pPr>
              <w:pageBreakBefore w:val="0"/>
              <w:kinsoku/>
              <w:wordWrap/>
              <w:overflowPunct/>
              <w:topLinePunct w:val="0"/>
              <w:autoSpaceDE/>
              <w:autoSpaceDN/>
              <w:bidi w:val="0"/>
              <w:spacing w:line="560" w:lineRule="exact"/>
              <w:jc w:val="center"/>
              <w:textAlignment w:val="auto"/>
              <w:rPr>
                <w:highlight w:val="none"/>
              </w:rPr>
            </w:pPr>
            <w:r>
              <w:rPr>
                <w:highlight w:val="none"/>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615"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684"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2705"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549"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1267" w:type="dxa"/>
            <w:gridSpan w:val="2"/>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1980" w:type="dxa"/>
            <w:noWrap w:val="0"/>
            <w:vAlign w:val="center"/>
          </w:tcPr>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三等奖</w:t>
            </w:r>
          </w:p>
        </w:tc>
        <w:tc>
          <w:tcPr>
            <w:tcW w:w="1740" w:type="dxa"/>
            <w:noWrap w:val="0"/>
            <w:vAlign w:val="center"/>
          </w:tcPr>
          <w:p>
            <w:pPr>
              <w:pageBreakBefore w:val="0"/>
              <w:kinsoku/>
              <w:wordWrap/>
              <w:overflowPunct/>
              <w:topLinePunct w:val="0"/>
              <w:autoSpaceDE/>
              <w:autoSpaceDN/>
              <w:bidi w:val="0"/>
              <w:spacing w:line="560" w:lineRule="exact"/>
              <w:jc w:val="center"/>
              <w:textAlignment w:val="auto"/>
              <w:rPr>
                <w:highlight w:val="none"/>
              </w:rPr>
            </w:pPr>
            <w:r>
              <w:rPr>
                <w:highlight w:val="none"/>
              </w:rPr>
              <w:t>4/2.5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615"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684"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2705"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549" w:type="dxa"/>
            <w:vMerge w:val="restart"/>
            <w:noWrap w:val="0"/>
            <w:vAlign w:val="center"/>
          </w:tcPr>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自治区级</w:t>
            </w:r>
          </w:p>
        </w:tc>
        <w:tc>
          <w:tcPr>
            <w:tcW w:w="1267" w:type="dxa"/>
            <w:gridSpan w:val="2"/>
            <w:vMerge w:val="restart"/>
            <w:noWrap w:val="0"/>
            <w:vAlign w:val="center"/>
          </w:tcPr>
          <w:p>
            <w:pPr>
              <w:pageBreakBefore w:val="0"/>
              <w:kinsoku/>
              <w:wordWrap/>
              <w:overflowPunct/>
              <w:topLinePunct w:val="0"/>
              <w:autoSpaceDE/>
              <w:autoSpaceDN/>
              <w:bidi w:val="0"/>
              <w:spacing w:line="560" w:lineRule="exact"/>
              <w:jc w:val="center"/>
              <w:textAlignment w:val="auto"/>
              <w:rPr>
                <w:highlight w:val="none"/>
              </w:rPr>
            </w:pPr>
            <w:r>
              <w:rPr>
                <w:highlight w:val="none"/>
              </w:rPr>
              <w:t>1</w:t>
            </w:r>
            <w:r>
              <w:rPr>
                <w:rFonts w:hint="eastAsia"/>
                <w:highlight w:val="none"/>
              </w:rPr>
              <w:t>类</w:t>
            </w:r>
          </w:p>
        </w:tc>
        <w:tc>
          <w:tcPr>
            <w:tcW w:w="1980" w:type="dxa"/>
            <w:noWrap w:val="0"/>
            <w:vAlign w:val="center"/>
          </w:tcPr>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一等奖</w:t>
            </w:r>
          </w:p>
        </w:tc>
        <w:tc>
          <w:tcPr>
            <w:tcW w:w="1740" w:type="dxa"/>
            <w:noWrap w:val="0"/>
            <w:vAlign w:val="center"/>
          </w:tcPr>
          <w:p>
            <w:pPr>
              <w:pageBreakBefore w:val="0"/>
              <w:kinsoku/>
              <w:wordWrap/>
              <w:overflowPunct/>
              <w:topLinePunct w:val="0"/>
              <w:autoSpaceDE/>
              <w:autoSpaceDN/>
              <w:bidi w:val="0"/>
              <w:spacing w:line="560" w:lineRule="exact"/>
              <w:jc w:val="center"/>
              <w:textAlignment w:val="auto"/>
              <w:rPr>
                <w:highlight w:val="none"/>
              </w:rPr>
            </w:pPr>
            <w:r>
              <w:rPr>
                <w:highlight w:val="none"/>
              </w:rPr>
              <w:t>10/7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615"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684"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2705"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549"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1267" w:type="dxa"/>
            <w:gridSpan w:val="2"/>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1980" w:type="dxa"/>
            <w:noWrap w:val="0"/>
            <w:vAlign w:val="center"/>
          </w:tcPr>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二等奖</w:t>
            </w:r>
          </w:p>
        </w:tc>
        <w:tc>
          <w:tcPr>
            <w:tcW w:w="1740" w:type="dxa"/>
            <w:noWrap w:val="0"/>
            <w:vAlign w:val="center"/>
          </w:tcPr>
          <w:p>
            <w:pPr>
              <w:pageBreakBefore w:val="0"/>
              <w:kinsoku/>
              <w:wordWrap/>
              <w:overflowPunct/>
              <w:topLinePunct w:val="0"/>
              <w:autoSpaceDE/>
              <w:autoSpaceDN/>
              <w:bidi w:val="0"/>
              <w:spacing w:line="560" w:lineRule="exact"/>
              <w:jc w:val="center"/>
              <w:textAlignment w:val="auto"/>
              <w:rPr>
                <w:highlight w:val="none"/>
              </w:rPr>
            </w:pPr>
            <w:r>
              <w:rPr>
                <w:highlight w:val="none"/>
              </w:rPr>
              <w:t>8/5.5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615"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684"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2705"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549"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1267" w:type="dxa"/>
            <w:gridSpan w:val="2"/>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1980" w:type="dxa"/>
            <w:noWrap w:val="0"/>
            <w:vAlign w:val="center"/>
          </w:tcPr>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三等奖</w:t>
            </w:r>
          </w:p>
        </w:tc>
        <w:tc>
          <w:tcPr>
            <w:tcW w:w="1740" w:type="dxa"/>
            <w:noWrap w:val="0"/>
            <w:vAlign w:val="center"/>
          </w:tcPr>
          <w:p>
            <w:pPr>
              <w:pageBreakBefore w:val="0"/>
              <w:kinsoku/>
              <w:wordWrap/>
              <w:overflowPunct/>
              <w:topLinePunct w:val="0"/>
              <w:autoSpaceDE/>
              <w:autoSpaceDN/>
              <w:bidi w:val="0"/>
              <w:spacing w:line="560" w:lineRule="exact"/>
              <w:jc w:val="center"/>
              <w:textAlignment w:val="auto"/>
              <w:rPr>
                <w:highlight w:val="none"/>
              </w:rPr>
            </w:pPr>
            <w:r>
              <w:rPr>
                <w:highlight w:val="none"/>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615"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684"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2705"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549"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1267" w:type="dxa"/>
            <w:gridSpan w:val="2"/>
            <w:vMerge w:val="restart"/>
            <w:noWrap w:val="0"/>
            <w:vAlign w:val="center"/>
          </w:tcPr>
          <w:p>
            <w:pPr>
              <w:pageBreakBefore w:val="0"/>
              <w:kinsoku/>
              <w:wordWrap/>
              <w:overflowPunct/>
              <w:topLinePunct w:val="0"/>
              <w:autoSpaceDE/>
              <w:autoSpaceDN/>
              <w:bidi w:val="0"/>
              <w:spacing w:line="560" w:lineRule="exact"/>
              <w:jc w:val="center"/>
              <w:textAlignment w:val="auto"/>
              <w:rPr>
                <w:highlight w:val="none"/>
              </w:rPr>
            </w:pPr>
            <w:r>
              <w:rPr>
                <w:highlight w:val="none"/>
              </w:rPr>
              <w:t>2</w:t>
            </w:r>
            <w:r>
              <w:rPr>
                <w:rFonts w:hint="eastAsia"/>
                <w:highlight w:val="none"/>
              </w:rPr>
              <w:t>类</w:t>
            </w:r>
          </w:p>
        </w:tc>
        <w:tc>
          <w:tcPr>
            <w:tcW w:w="1980" w:type="dxa"/>
            <w:noWrap w:val="0"/>
            <w:vAlign w:val="center"/>
          </w:tcPr>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一等奖</w:t>
            </w:r>
          </w:p>
        </w:tc>
        <w:tc>
          <w:tcPr>
            <w:tcW w:w="1740" w:type="dxa"/>
            <w:noWrap w:val="0"/>
            <w:vAlign w:val="center"/>
          </w:tcPr>
          <w:p>
            <w:pPr>
              <w:pageBreakBefore w:val="0"/>
              <w:kinsoku/>
              <w:wordWrap/>
              <w:overflowPunct/>
              <w:topLinePunct w:val="0"/>
              <w:autoSpaceDE/>
              <w:autoSpaceDN/>
              <w:bidi w:val="0"/>
              <w:spacing w:line="560" w:lineRule="exact"/>
              <w:jc w:val="center"/>
              <w:textAlignment w:val="auto"/>
              <w:rPr>
                <w:highlight w:val="none"/>
              </w:rPr>
            </w:pPr>
            <w:r>
              <w:rPr>
                <w:highlight w:val="none"/>
              </w:rPr>
              <w:t>8/5.5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615"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684"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2705"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549"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1267" w:type="dxa"/>
            <w:gridSpan w:val="2"/>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1980" w:type="dxa"/>
            <w:noWrap w:val="0"/>
            <w:vAlign w:val="center"/>
          </w:tcPr>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二等奖</w:t>
            </w:r>
          </w:p>
        </w:tc>
        <w:tc>
          <w:tcPr>
            <w:tcW w:w="1740" w:type="dxa"/>
            <w:noWrap w:val="0"/>
            <w:vAlign w:val="center"/>
          </w:tcPr>
          <w:p>
            <w:pPr>
              <w:pageBreakBefore w:val="0"/>
              <w:kinsoku/>
              <w:wordWrap/>
              <w:overflowPunct/>
              <w:topLinePunct w:val="0"/>
              <w:autoSpaceDE/>
              <w:autoSpaceDN/>
              <w:bidi w:val="0"/>
              <w:spacing w:line="560" w:lineRule="exact"/>
              <w:jc w:val="center"/>
              <w:textAlignment w:val="auto"/>
              <w:rPr>
                <w:highlight w:val="none"/>
              </w:rPr>
            </w:pPr>
            <w:r>
              <w:rPr>
                <w:highlight w:val="none"/>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615"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684"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2705"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549"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1267" w:type="dxa"/>
            <w:gridSpan w:val="2"/>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1980" w:type="dxa"/>
            <w:noWrap w:val="0"/>
            <w:vAlign w:val="center"/>
          </w:tcPr>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三等奖</w:t>
            </w:r>
          </w:p>
        </w:tc>
        <w:tc>
          <w:tcPr>
            <w:tcW w:w="1740" w:type="dxa"/>
            <w:noWrap w:val="0"/>
            <w:vAlign w:val="center"/>
          </w:tcPr>
          <w:p>
            <w:pPr>
              <w:pageBreakBefore w:val="0"/>
              <w:kinsoku/>
              <w:wordWrap/>
              <w:overflowPunct/>
              <w:topLinePunct w:val="0"/>
              <w:autoSpaceDE/>
              <w:autoSpaceDN/>
              <w:bidi w:val="0"/>
              <w:spacing w:line="560" w:lineRule="exact"/>
              <w:jc w:val="center"/>
              <w:textAlignment w:val="auto"/>
              <w:rPr>
                <w:highlight w:val="none"/>
              </w:rPr>
            </w:pPr>
            <w:r>
              <w:rPr>
                <w:highlight w:val="none"/>
              </w:rPr>
              <w:t>4/2.5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615"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684" w:type="dxa"/>
            <w:vMerge w:val="restart"/>
            <w:noWrap w:val="0"/>
            <w:vAlign w:val="center"/>
          </w:tcPr>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国家</w:t>
            </w:r>
          </w:p>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艺术</w:t>
            </w:r>
          </w:p>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基金</w:t>
            </w:r>
          </w:p>
        </w:tc>
        <w:tc>
          <w:tcPr>
            <w:tcW w:w="2705" w:type="dxa"/>
            <w:vMerge w:val="restart"/>
            <w:noWrap w:val="0"/>
            <w:vAlign w:val="center"/>
          </w:tcPr>
          <w:p>
            <w:pPr>
              <w:pageBreakBefore w:val="0"/>
              <w:kinsoku/>
              <w:wordWrap/>
              <w:overflowPunct/>
              <w:topLinePunct w:val="0"/>
              <w:autoSpaceDE/>
              <w:autoSpaceDN/>
              <w:bidi w:val="0"/>
              <w:spacing w:line="560" w:lineRule="exact"/>
              <w:textAlignment w:val="auto"/>
              <w:rPr>
                <w:highlight w:val="none"/>
              </w:rPr>
            </w:pPr>
            <w:r>
              <w:rPr>
                <w:rFonts w:hint="eastAsia"/>
                <w:highlight w:val="none"/>
              </w:rPr>
              <w:t>大型舞台艺术创作、传播交流推广、艺术人才培养立项</w:t>
            </w:r>
          </w:p>
        </w:tc>
        <w:tc>
          <w:tcPr>
            <w:tcW w:w="1816" w:type="dxa"/>
            <w:gridSpan w:val="3"/>
            <w:noWrap w:val="0"/>
            <w:vAlign w:val="center"/>
          </w:tcPr>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负责人</w:t>
            </w:r>
          </w:p>
        </w:tc>
        <w:tc>
          <w:tcPr>
            <w:tcW w:w="3720" w:type="dxa"/>
            <w:gridSpan w:val="2"/>
            <w:noWrap w:val="0"/>
            <w:vAlign w:val="center"/>
          </w:tcPr>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615"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684"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2705"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1816" w:type="dxa"/>
            <w:gridSpan w:val="3"/>
            <w:noWrap w:val="0"/>
            <w:vAlign w:val="center"/>
          </w:tcPr>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成员</w:t>
            </w:r>
          </w:p>
        </w:tc>
        <w:tc>
          <w:tcPr>
            <w:tcW w:w="3720" w:type="dxa"/>
            <w:gridSpan w:val="2"/>
            <w:noWrap w:val="0"/>
            <w:vAlign w:val="center"/>
          </w:tcPr>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615" w:type="dxa"/>
            <w:vMerge w:val="continue"/>
            <w:noWrap w:val="0"/>
            <w:vAlign w:val="center"/>
          </w:tcPr>
          <w:p>
            <w:pPr>
              <w:pageBreakBefore w:val="0"/>
              <w:kinsoku/>
              <w:wordWrap/>
              <w:overflowPunct/>
              <w:topLinePunct w:val="0"/>
              <w:autoSpaceDE/>
              <w:autoSpaceDN/>
              <w:bidi w:val="0"/>
              <w:spacing w:line="560" w:lineRule="exact"/>
              <w:textAlignment w:val="auto"/>
              <w:rPr>
                <w:highlight w:val="none"/>
              </w:rPr>
            </w:pPr>
          </w:p>
        </w:tc>
        <w:tc>
          <w:tcPr>
            <w:tcW w:w="684" w:type="dxa"/>
            <w:vMerge w:val="continue"/>
            <w:noWrap w:val="0"/>
            <w:vAlign w:val="center"/>
          </w:tcPr>
          <w:p>
            <w:pPr>
              <w:pageBreakBefore w:val="0"/>
              <w:kinsoku/>
              <w:wordWrap/>
              <w:overflowPunct/>
              <w:topLinePunct w:val="0"/>
              <w:autoSpaceDE/>
              <w:autoSpaceDN/>
              <w:bidi w:val="0"/>
              <w:spacing w:line="560" w:lineRule="exact"/>
              <w:textAlignment w:val="auto"/>
              <w:rPr>
                <w:highlight w:val="none"/>
              </w:rPr>
            </w:pPr>
          </w:p>
        </w:tc>
        <w:tc>
          <w:tcPr>
            <w:tcW w:w="2705" w:type="dxa"/>
            <w:noWrap w:val="0"/>
            <w:vAlign w:val="center"/>
          </w:tcPr>
          <w:p>
            <w:pPr>
              <w:pageBreakBefore w:val="0"/>
              <w:kinsoku/>
              <w:wordWrap/>
              <w:overflowPunct/>
              <w:topLinePunct w:val="0"/>
              <w:autoSpaceDE/>
              <w:autoSpaceDN/>
              <w:bidi w:val="0"/>
              <w:spacing w:line="560" w:lineRule="exact"/>
              <w:textAlignment w:val="auto"/>
              <w:rPr>
                <w:highlight w:val="none"/>
              </w:rPr>
            </w:pPr>
            <w:r>
              <w:rPr>
                <w:rFonts w:hint="eastAsia"/>
                <w:highlight w:val="none"/>
              </w:rPr>
              <w:t>小型舞台艺术创作、青年艺术创作及表演人才立项</w:t>
            </w:r>
          </w:p>
        </w:tc>
        <w:tc>
          <w:tcPr>
            <w:tcW w:w="5536" w:type="dxa"/>
            <w:gridSpan w:val="5"/>
            <w:noWrap w:val="0"/>
            <w:vAlign w:val="center"/>
          </w:tcPr>
          <w:p>
            <w:pPr>
              <w:pageBreakBefore w:val="0"/>
              <w:kinsoku/>
              <w:wordWrap/>
              <w:overflowPunct/>
              <w:topLinePunct w:val="0"/>
              <w:autoSpaceDE/>
              <w:autoSpaceDN/>
              <w:bidi w:val="0"/>
              <w:spacing w:line="560" w:lineRule="exact"/>
              <w:ind w:firstLine="2940" w:firstLineChars="1400"/>
              <w:jc w:val="left"/>
              <w:textAlignment w:val="auto"/>
              <w:rPr>
                <w:highlight w:val="none"/>
              </w:rPr>
            </w:pPr>
            <w:r>
              <w:rPr>
                <w:rFonts w:hint="eastAsia"/>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615" w:type="dxa"/>
            <w:vMerge w:val="restart"/>
            <w:noWrap w:val="0"/>
            <w:vAlign w:val="center"/>
          </w:tcPr>
          <w:p>
            <w:pPr>
              <w:pageBreakBefore w:val="0"/>
              <w:kinsoku/>
              <w:wordWrap/>
              <w:overflowPunct/>
              <w:topLinePunct w:val="0"/>
              <w:autoSpaceDE/>
              <w:autoSpaceDN/>
              <w:bidi w:val="0"/>
              <w:spacing w:line="560" w:lineRule="exact"/>
              <w:jc w:val="center"/>
              <w:textAlignment w:val="auto"/>
              <w:rPr>
                <w:highlight w:val="none"/>
              </w:rPr>
            </w:pPr>
          </w:p>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艺术实践</w:t>
            </w:r>
          </w:p>
        </w:tc>
        <w:tc>
          <w:tcPr>
            <w:tcW w:w="3389" w:type="dxa"/>
            <w:gridSpan w:val="2"/>
            <w:vMerge w:val="restart"/>
            <w:noWrap w:val="0"/>
            <w:vAlign w:val="center"/>
          </w:tcPr>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个人</w:t>
            </w:r>
            <w:r>
              <w:rPr>
                <w:highlight w:val="none"/>
              </w:rPr>
              <w:t>/</w:t>
            </w:r>
            <w:r>
              <w:rPr>
                <w:rFonts w:hint="eastAsia"/>
                <w:highlight w:val="none"/>
              </w:rPr>
              <w:t>学生展演（音乐、舞蹈、美术等）</w:t>
            </w:r>
          </w:p>
        </w:tc>
        <w:tc>
          <w:tcPr>
            <w:tcW w:w="1724" w:type="dxa"/>
            <w:gridSpan w:val="2"/>
            <w:noWrap w:val="0"/>
            <w:vAlign w:val="center"/>
          </w:tcPr>
          <w:p>
            <w:pPr>
              <w:pageBreakBefore w:val="0"/>
              <w:kinsoku/>
              <w:wordWrap/>
              <w:overflowPunct/>
              <w:topLinePunct w:val="0"/>
              <w:autoSpaceDE/>
              <w:autoSpaceDN/>
              <w:bidi w:val="0"/>
              <w:spacing w:line="560" w:lineRule="exact"/>
              <w:jc w:val="center"/>
              <w:textAlignment w:val="auto"/>
              <w:rPr>
                <w:highlight w:val="none"/>
              </w:rPr>
            </w:pPr>
            <w:r>
              <w:rPr>
                <w:highlight w:val="none"/>
              </w:rPr>
              <w:t>A</w:t>
            </w:r>
            <w:r>
              <w:rPr>
                <w:rFonts w:hint="eastAsia"/>
                <w:highlight w:val="none"/>
              </w:rPr>
              <w:t>级</w:t>
            </w:r>
          </w:p>
        </w:tc>
        <w:tc>
          <w:tcPr>
            <w:tcW w:w="3812" w:type="dxa"/>
            <w:gridSpan w:val="3"/>
            <w:noWrap w:val="0"/>
            <w:vAlign w:val="center"/>
          </w:tcPr>
          <w:p>
            <w:pPr>
              <w:pageBreakBefore w:val="0"/>
              <w:kinsoku/>
              <w:wordWrap/>
              <w:overflowPunct/>
              <w:topLinePunct w:val="0"/>
              <w:autoSpaceDE/>
              <w:autoSpaceDN/>
              <w:bidi w:val="0"/>
              <w:spacing w:line="560" w:lineRule="exact"/>
              <w:jc w:val="center"/>
              <w:textAlignment w:val="auto"/>
              <w:rPr>
                <w:highlight w:val="none"/>
              </w:rPr>
            </w:pPr>
            <w:r>
              <w:rPr>
                <w:highlight w:val="none"/>
              </w:rPr>
              <w:t>12/8.5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615"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3389" w:type="dxa"/>
            <w:gridSpan w:val="2"/>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1724" w:type="dxa"/>
            <w:gridSpan w:val="2"/>
            <w:noWrap w:val="0"/>
            <w:vAlign w:val="center"/>
          </w:tcPr>
          <w:p>
            <w:pPr>
              <w:pageBreakBefore w:val="0"/>
              <w:kinsoku/>
              <w:wordWrap/>
              <w:overflowPunct/>
              <w:topLinePunct w:val="0"/>
              <w:autoSpaceDE/>
              <w:autoSpaceDN/>
              <w:bidi w:val="0"/>
              <w:spacing w:line="560" w:lineRule="exact"/>
              <w:jc w:val="center"/>
              <w:textAlignment w:val="auto"/>
              <w:rPr>
                <w:highlight w:val="none"/>
              </w:rPr>
            </w:pPr>
            <w:r>
              <w:rPr>
                <w:highlight w:val="none"/>
              </w:rPr>
              <w:t>B</w:t>
            </w:r>
            <w:r>
              <w:rPr>
                <w:rFonts w:hint="eastAsia"/>
                <w:highlight w:val="none"/>
              </w:rPr>
              <w:t>级</w:t>
            </w:r>
          </w:p>
        </w:tc>
        <w:tc>
          <w:tcPr>
            <w:tcW w:w="3812" w:type="dxa"/>
            <w:gridSpan w:val="3"/>
            <w:noWrap w:val="0"/>
            <w:vAlign w:val="center"/>
          </w:tcPr>
          <w:p>
            <w:pPr>
              <w:pageBreakBefore w:val="0"/>
              <w:kinsoku/>
              <w:wordWrap/>
              <w:overflowPunct/>
              <w:topLinePunct w:val="0"/>
              <w:autoSpaceDE/>
              <w:autoSpaceDN/>
              <w:bidi w:val="0"/>
              <w:spacing w:line="560" w:lineRule="exact"/>
              <w:jc w:val="center"/>
              <w:textAlignment w:val="auto"/>
              <w:rPr>
                <w:highlight w:val="none"/>
              </w:rPr>
            </w:pPr>
            <w:r>
              <w:rPr>
                <w:highlight w:val="none"/>
              </w:rPr>
              <w:t>8/5.5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615"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3389" w:type="dxa"/>
            <w:gridSpan w:val="2"/>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1724" w:type="dxa"/>
            <w:gridSpan w:val="2"/>
            <w:noWrap w:val="0"/>
            <w:vAlign w:val="center"/>
          </w:tcPr>
          <w:p>
            <w:pPr>
              <w:pageBreakBefore w:val="0"/>
              <w:kinsoku/>
              <w:wordWrap/>
              <w:overflowPunct/>
              <w:topLinePunct w:val="0"/>
              <w:autoSpaceDE/>
              <w:autoSpaceDN/>
              <w:bidi w:val="0"/>
              <w:spacing w:line="560" w:lineRule="exact"/>
              <w:jc w:val="center"/>
              <w:textAlignment w:val="auto"/>
              <w:rPr>
                <w:highlight w:val="none"/>
              </w:rPr>
            </w:pPr>
            <w:r>
              <w:rPr>
                <w:highlight w:val="none"/>
              </w:rPr>
              <w:t>C</w:t>
            </w:r>
            <w:r>
              <w:rPr>
                <w:rFonts w:hint="eastAsia"/>
                <w:highlight w:val="none"/>
              </w:rPr>
              <w:t>级</w:t>
            </w:r>
          </w:p>
        </w:tc>
        <w:tc>
          <w:tcPr>
            <w:tcW w:w="3812" w:type="dxa"/>
            <w:gridSpan w:val="3"/>
            <w:noWrap w:val="0"/>
            <w:vAlign w:val="center"/>
          </w:tcPr>
          <w:p>
            <w:pPr>
              <w:pageBreakBefore w:val="0"/>
              <w:kinsoku/>
              <w:wordWrap/>
              <w:overflowPunct/>
              <w:topLinePunct w:val="0"/>
              <w:autoSpaceDE/>
              <w:autoSpaceDN/>
              <w:bidi w:val="0"/>
              <w:spacing w:line="560" w:lineRule="exact"/>
              <w:jc w:val="center"/>
              <w:textAlignment w:val="auto"/>
              <w:rPr>
                <w:highlight w:val="none"/>
              </w:rPr>
            </w:pPr>
            <w:r>
              <w:rPr>
                <w:highlight w:val="none"/>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615"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3389" w:type="dxa"/>
            <w:gridSpan w:val="2"/>
            <w:vMerge w:val="restart"/>
            <w:noWrap w:val="0"/>
            <w:vAlign w:val="center"/>
          </w:tcPr>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个人专辑、画册（出版）</w:t>
            </w:r>
          </w:p>
        </w:tc>
        <w:tc>
          <w:tcPr>
            <w:tcW w:w="1724" w:type="dxa"/>
            <w:gridSpan w:val="2"/>
            <w:noWrap w:val="0"/>
            <w:vAlign w:val="center"/>
          </w:tcPr>
          <w:p>
            <w:pPr>
              <w:pageBreakBefore w:val="0"/>
              <w:kinsoku/>
              <w:wordWrap/>
              <w:overflowPunct/>
              <w:topLinePunct w:val="0"/>
              <w:autoSpaceDE/>
              <w:autoSpaceDN/>
              <w:bidi w:val="0"/>
              <w:spacing w:line="560" w:lineRule="exact"/>
              <w:jc w:val="center"/>
              <w:textAlignment w:val="auto"/>
              <w:rPr>
                <w:highlight w:val="none"/>
              </w:rPr>
            </w:pPr>
            <w:r>
              <w:rPr>
                <w:highlight w:val="none"/>
              </w:rPr>
              <w:t>A</w:t>
            </w:r>
            <w:r>
              <w:rPr>
                <w:rFonts w:hint="eastAsia"/>
                <w:highlight w:val="none"/>
              </w:rPr>
              <w:t>级</w:t>
            </w:r>
          </w:p>
        </w:tc>
        <w:tc>
          <w:tcPr>
            <w:tcW w:w="3812" w:type="dxa"/>
            <w:gridSpan w:val="3"/>
            <w:noWrap w:val="0"/>
            <w:vAlign w:val="center"/>
          </w:tcPr>
          <w:p>
            <w:pPr>
              <w:pageBreakBefore w:val="0"/>
              <w:kinsoku/>
              <w:wordWrap/>
              <w:overflowPunct/>
              <w:topLinePunct w:val="0"/>
              <w:autoSpaceDE/>
              <w:autoSpaceDN/>
              <w:bidi w:val="0"/>
              <w:spacing w:line="560" w:lineRule="exact"/>
              <w:jc w:val="center"/>
              <w:textAlignment w:val="auto"/>
              <w:rPr>
                <w:highlight w:val="none"/>
              </w:rPr>
            </w:pPr>
            <w:r>
              <w:rPr>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615"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3389" w:type="dxa"/>
            <w:gridSpan w:val="2"/>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1724" w:type="dxa"/>
            <w:gridSpan w:val="2"/>
            <w:noWrap w:val="0"/>
            <w:vAlign w:val="center"/>
          </w:tcPr>
          <w:p>
            <w:pPr>
              <w:pageBreakBefore w:val="0"/>
              <w:kinsoku/>
              <w:wordWrap/>
              <w:overflowPunct/>
              <w:topLinePunct w:val="0"/>
              <w:autoSpaceDE/>
              <w:autoSpaceDN/>
              <w:bidi w:val="0"/>
              <w:spacing w:line="560" w:lineRule="exact"/>
              <w:jc w:val="center"/>
              <w:textAlignment w:val="auto"/>
              <w:rPr>
                <w:highlight w:val="none"/>
              </w:rPr>
            </w:pPr>
            <w:r>
              <w:rPr>
                <w:highlight w:val="none"/>
              </w:rPr>
              <w:t>B</w:t>
            </w:r>
            <w:r>
              <w:rPr>
                <w:rFonts w:hint="eastAsia"/>
                <w:highlight w:val="none"/>
              </w:rPr>
              <w:t>级</w:t>
            </w:r>
          </w:p>
        </w:tc>
        <w:tc>
          <w:tcPr>
            <w:tcW w:w="3812" w:type="dxa"/>
            <w:gridSpan w:val="3"/>
            <w:noWrap w:val="0"/>
            <w:vAlign w:val="center"/>
          </w:tcPr>
          <w:p>
            <w:pPr>
              <w:pageBreakBefore w:val="0"/>
              <w:kinsoku/>
              <w:wordWrap/>
              <w:overflowPunct/>
              <w:topLinePunct w:val="0"/>
              <w:autoSpaceDE/>
              <w:autoSpaceDN/>
              <w:bidi w:val="0"/>
              <w:spacing w:line="560" w:lineRule="exact"/>
              <w:jc w:val="center"/>
              <w:textAlignment w:val="auto"/>
              <w:rPr>
                <w:highlight w:val="none"/>
              </w:rPr>
            </w:pPr>
            <w:r>
              <w:rPr>
                <w:highlight w:val="none"/>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615"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3389" w:type="dxa"/>
            <w:gridSpan w:val="2"/>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1724" w:type="dxa"/>
            <w:gridSpan w:val="2"/>
            <w:noWrap w:val="0"/>
            <w:vAlign w:val="center"/>
          </w:tcPr>
          <w:p>
            <w:pPr>
              <w:pageBreakBefore w:val="0"/>
              <w:kinsoku/>
              <w:wordWrap/>
              <w:overflowPunct/>
              <w:topLinePunct w:val="0"/>
              <w:autoSpaceDE/>
              <w:autoSpaceDN/>
              <w:bidi w:val="0"/>
              <w:spacing w:line="560" w:lineRule="exact"/>
              <w:jc w:val="center"/>
              <w:textAlignment w:val="auto"/>
              <w:rPr>
                <w:highlight w:val="none"/>
              </w:rPr>
            </w:pPr>
            <w:r>
              <w:rPr>
                <w:highlight w:val="none"/>
              </w:rPr>
              <w:t>C</w:t>
            </w:r>
            <w:r>
              <w:rPr>
                <w:rFonts w:hint="eastAsia"/>
                <w:highlight w:val="none"/>
              </w:rPr>
              <w:t>级</w:t>
            </w:r>
          </w:p>
        </w:tc>
        <w:tc>
          <w:tcPr>
            <w:tcW w:w="3812" w:type="dxa"/>
            <w:gridSpan w:val="3"/>
            <w:noWrap w:val="0"/>
            <w:vAlign w:val="center"/>
          </w:tcPr>
          <w:p>
            <w:pPr>
              <w:pageBreakBefore w:val="0"/>
              <w:kinsoku/>
              <w:wordWrap/>
              <w:overflowPunct/>
              <w:topLinePunct w:val="0"/>
              <w:autoSpaceDE/>
              <w:autoSpaceDN/>
              <w:bidi w:val="0"/>
              <w:spacing w:line="560" w:lineRule="exact"/>
              <w:jc w:val="center"/>
              <w:textAlignment w:val="auto"/>
              <w:rPr>
                <w:highlight w:val="none"/>
              </w:rPr>
            </w:pPr>
            <w:r>
              <w:rPr>
                <w:highlight w:val="none"/>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615"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3389" w:type="dxa"/>
            <w:gridSpan w:val="2"/>
            <w:vMerge w:val="restart"/>
            <w:noWrap w:val="0"/>
            <w:vAlign w:val="center"/>
          </w:tcPr>
          <w:p>
            <w:pPr>
              <w:pageBreakBefore w:val="0"/>
              <w:kinsoku/>
              <w:wordWrap/>
              <w:overflowPunct/>
              <w:topLinePunct w:val="0"/>
              <w:autoSpaceDE/>
              <w:autoSpaceDN/>
              <w:bidi w:val="0"/>
              <w:spacing w:line="560" w:lineRule="exact"/>
              <w:jc w:val="center"/>
              <w:textAlignment w:val="auto"/>
              <w:rPr>
                <w:highlight w:val="none"/>
              </w:rPr>
            </w:pPr>
            <w:r>
              <w:rPr>
                <w:rFonts w:hint="eastAsia"/>
                <w:highlight w:val="none"/>
              </w:rPr>
              <w:t>发表原创作品（按学校认定的级别赋分）</w:t>
            </w:r>
          </w:p>
        </w:tc>
        <w:tc>
          <w:tcPr>
            <w:tcW w:w="1724" w:type="dxa"/>
            <w:gridSpan w:val="2"/>
            <w:noWrap w:val="0"/>
            <w:vAlign w:val="center"/>
          </w:tcPr>
          <w:p>
            <w:pPr>
              <w:pageBreakBefore w:val="0"/>
              <w:kinsoku/>
              <w:wordWrap/>
              <w:overflowPunct/>
              <w:topLinePunct w:val="0"/>
              <w:autoSpaceDE/>
              <w:autoSpaceDN/>
              <w:bidi w:val="0"/>
              <w:spacing w:line="560" w:lineRule="exact"/>
              <w:jc w:val="center"/>
              <w:textAlignment w:val="auto"/>
              <w:rPr>
                <w:highlight w:val="none"/>
              </w:rPr>
            </w:pPr>
            <w:r>
              <w:rPr>
                <w:highlight w:val="none"/>
              </w:rPr>
              <w:t>A</w:t>
            </w:r>
            <w:r>
              <w:rPr>
                <w:rFonts w:hint="eastAsia"/>
                <w:highlight w:val="none"/>
              </w:rPr>
              <w:t>级</w:t>
            </w:r>
          </w:p>
        </w:tc>
        <w:tc>
          <w:tcPr>
            <w:tcW w:w="3812" w:type="dxa"/>
            <w:gridSpan w:val="3"/>
            <w:noWrap w:val="0"/>
            <w:vAlign w:val="center"/>
          </w:tcPr>
          <w:p>
            <w:pPr>
              <w:pageBreakBefore w:val="0"/>
              <w:kinsoku/>
              <w:wordWrap/>
              <w:overflowPunct/>
              <w:topLinePunct w:val="0"/>
              <w:autoSpaceDE/>
              <w:autoSpaceDN/>
              <w:bidi w:val="0"/>
              <w:spacing w:line="560" w:lineRule="exact"/>
              <w:jc w:val="center"/>
              <w:textAlignment w:val="auto"/>
              <w:rPr>
                <w:highlight w:val="none"/>
              </w:rPr>
            </w:pPr>
            <w:r>
              <w:rPr>
                <w:highlight w:val="none"/>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615"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3389" w:type="dxa"/>
            <w:gridSpan w:val="2"/>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1724" w:type="dxa"/>
            <w:gridSpan w:val="2"/>
            <w:noWrap w:val="0"/>
            <w:vAlign w:val="center"/>
          </w:tcPr>
          <w:p>
            <w:pPr>
              <w:pageBreakBefore w:val="0"/>
              <w:kinsoku/>
              <w:wordWrap/>
              <w:overflowPunct/>
              <w:topLinePunct w:val="0"/>
              <w:autoSpaceDE/>
              <w:autoSpaceDN/>
              <w:bidi w:val="0"/>
              <w:spacing w:line="560" w:lineRule="exact"/>
              <w:jc w:val="center"/>
              <w:textAlignment w:val="auto"/>
              <w:rPr>
                <w:highlight w:val="none"/>
              </w:rPr>
            </w:pPr>
            <w:r>
              <w:rPr>
                <w:highlight w:val="none"/>
              </w:rPr>
              <w:t>B</w:t>
            </w:r>
            <w:r>
              <w:rPr>
                <w:rFonts w:hint="eastAsia"/>
                <w:highlight w:val="none"/>
              </w:rPr>
              <w:t>级</w:t>
            </w:r>
          </w:p>
        </w:tc>
        <w:tc>
          <w:tcPr>
            <w:tcW w:w="3812" w:type="dxa"/>
            <w:gridSpan w:val="3"/>
            <w:noWrap w:val="0"/>
            <w:vAlign w:val="center"/>
          </w:tcPr>
          <w:p>
            <w:pPr>
              <w:pageBreakBefore w:val="0"/>
              <w:kinsoku/>
              <w:wordWrap/>
              <w:overflowPunct/>
              <w:topLinePunct w:val="0"/>
              <w:autoSpaceDE/>
              <w:autoSpaceDN/>
              <w:bidi w:val="0"/>
              <w:spacing w:line="560" w:lineRule="exact"/>
              <w:jc w:val="center"/>
              <w:textAlignment w:val="auto"/>
              <w:rPr>
                <w:highlight w:val="none"/>
              </w:rPr>
            </w:pPr>
            <w:r>
              <w:rPr>
                <w:highlight w:val="none"/>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615" w:type="dxa"/>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3389" w:type="dxa"/>
            <w:gridSpan w:val="2"/>
            <w:vMerge w:val="continue"/>
            <w:noWrap w:val="0"/>
            <w:vAlign w:val="center"/>
          </w:tcPr>
          <w:p>
            <w:pPr>
              <w:pageBreakBefore w:val="0"/>
              <w:kinsoku/>
              <w:wordWrap/>
              <w:overflowPunct/>
              <w:topLinePunct w:val="0"/>
              <w:autoSpaceDE/>
              <w:autoSpaceDN/>
              <w:bidi w:val="0"/>
              <w:spacing w:line="560" w:lineRule="exact"/>
              <w:jc w:val="center"/>
              <w:textAlignment w:val="auto"/>
              <w:rPr>
                <w:highlight w:val="none"/>
              </w:rPr>
            </w:pPr>
          </w:p>
        </w:tc>
        <w:tc>
          <w:tcPr>
            <w:tcW w:w="1724" w:type="dxa"/>
            <w:gridSpan w:val="2"/>
            <w:noWrap w:val="0"/>
            <w:vAlign w:val="center"/>
          </w:tcPr>
          <w:p>
            <w:pPr>
              <w:pageBreakBefore w:val="0"/>
              <w:kinsoku/>
              <w:wordWrap/>
              <w:overflowPunct/>
              <w:topLinePunct w:val="0"/>
              <w:autoSpaceDE/>
              <w:autoSpaceDN/>
              <w:bidi w:val="0"/>
              <w:spacing w:line="560" w:lineRule="exact"/>
              <w:jc w:val="center"/>
              <w:textAlignment w:val="auto"/>
              <w:rPr>
                <w:highlight w:val="none"/>
              </w:rPr>
            </w:pPr>
            <w:r>
              <w:rPr>
                <w:highlight w:val="none"/>
              </w:rPr>
              <w:t>C</w:t>
            </w:r>
            <w:r>
              <w:rPr>
                <w:rFonts w:hint="eastAsia"/>
                <w:highlight w:val="none"/>
              </w:rPr>
              <w:t>级</w:t>
            </w:r>
          </w:p>
        </w:tc>
        <w:tc>
          <w:tcPr>
            <w:tcW w:w="3812" w:type="dxa"/>
            <w:gridSpan w:val="3"/>
            <w:noWrap w:val="0"/>
            <w:vAlign w:val="center"/>
          </w:tcPr>
          <w:p>
            <w:pPr>
              <w:pageBreakBefore w:val="0"/>
              <w:kinsoku/>
              <w:wordWrap/>
              <w:overflowPunct/>
              <w:topLinePunct w:val="0"/>
              <w:autoSpaceDE/>
              <w:autoSpaceDN/>
              <w:bidi w:val="0"/>
              <w:spacing w:line="560" w:lineRule="exact"/>
              <w:jc w:val="center"/>
              <w:textAlignment w:val="auto"/>
              <w:rPr>
                <w:highlight w:val="none"/>
              </w:rPr>
            </w:pPr>
            <w:r>
              <w:rPr>
                <w:highlight w:val="none"/>
              </w:rPr>
              <w:t>4</w:t>
            </w:r>
          </w:p>
        </w:tc>
      </w:tr>
    </w:tbl>
    <w:p>
      <w:pPr>
        <w:pageBreakBefore w:val="0"/>
        <w:kinsoku/>
        <w:wordWrap/>
        <w:overflowPunct/>
        <w:topLinePunct w:val="0"/>
        <w:autoSpaceDE/>
        <w:autoSpaceDN/>
        <w:bidi w:val="0"/>
        <w:spacing w:line="560" w:lineRule="exact"/>
        <w:textAlignment w:val="auto"/>
        <w:rPr>
          <w:rFonts w:ascii="仿宋_GB2312" w:hAnsi="仿宋_GB2312" w:eastAsia="仿宋_GB2312" w:cs="仿宋_GB2312"/>
          <w:sz w:val="32"/>
          <w:szCs w:val="32"/>
          <w:highlight w:val="none"/>
        </w:rPr>
      </w:pPr>
    </w:p>
    <w:p>
      <w:pPr>
        <w:keepNext w:val="0"/>
        <w:keepLines w:val="0"/>
        <w:pageBreakBefore w:val="0"/>
        <w:widowControl w:val="0"/>
        <w:numPr>
          <w:ilvl w:val="0"/>
          <w:numId w:val="5"/>
        </w:numPr>
        <w:kinsoku/>
        <w:wordWrap/>
        <w:overflowPunct/>
        <w:topLinePunct w:val="0"/>
        <w:autoSpaceDE/>
        <w:autoSpaceDN/>
        <w:bidi w:val="0"/>
        <w:adjustRightInd/>
        <w:snapToGrid/>
        <w:spacing w:line="560" w:lineRule="exact"/>
        <w:ind w:firstLine="0" w:firstLineChars="0"/>
        <w:textAlignment w:val="auto"/>
        <w:rPr>
          <w:rFonts w:hint="eastAsia" w:ascii="黑体" w:hAnsi="黑体" w:eastAsia="黑体" w:cs="黑体"/>
          <w:b w:val="0"/>
          <w:bCs w:val="0"/>
          <w:sz w:val="32"/>
          <w:szCs w:val="32"/>
          <w:highlight w:val="none"/>
          <w:lang w:val="en-US" w:eastAsia="zh-CN"/>
        </w:rPr>
      </w:pPr>
      <w:r>
        <w:rPr>
          <w:rFonts w:hint="eastAsia" w:ascii="黑体" w:hAnsi="黑体" w:eastAsia="黑体" w:cs="黑体"/>
          <w:b w:val="0"/>
          <w:bCs w:val="0"/>
          <w:sz w:val="32"/>
          <w:szCs w:val="32"/>
          <w:highlight w:val="none"/>
          <w:lang w:val="en-US" w:eastAsia="zh-CN"/>
        </w:rPr>
        <w:t>思政课教师成果认定</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sz w:val="32"/>
          <w:szCs w:val="32"/>
          <w:highlight w:val="none"/>
          <w:lang w:val="en-US" w:eastAsia="zh-CN"/>
        </w:rPr>
        <w:t>根据人社厅工作要求，</w:t>
      </w:r>
      <w:r>
        <w:rPr>
          <w:rFonts w:hint="eastAsia" w:ascii="仿宋_GB2312" w:hAnsi="仿宋_GB2312" w:eastAsia="仿宋_GB2312" w:cs="仿宋_GB2312"/>
          <w:sz w:val="32"/>
          <w:szCs w:val="32"/>
          <w:highlight w:val="none"/>
        </w:rPr>
        <w:t>学校单独成立学生思想政治教育研究系列和思想政治理论课教师的职称评审委员会，单列计划、单设标准、单独评审</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我校思政课教师进行职称评审时，在符合自治区人社厅、教育厅和我校有关教师职称评审基本条件的同时，增加/补充思政课教师教学科研成果的赋分项，具体如下：</w:t>
      </w:r>
    </w:p>
    <w:p>
      <w:pPr>
        <w:keepNext w:val="0"/>
        <w:keepLines w:val="0"/>
        <w:pageBreakBefore w:val="0"/>
        <w:wordWrap/>
        <w:overflowPunct/>
        <w:topLinePunct w:val="0"/>
        <w:bidi w:val="0"/>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一</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思政课教师参加中央和国家机关、省/自治区教育厅举办的教学类活动所获奖项（如：全国、自治区高校思想政治理论课教学展示活动等），应参照“教学比赛奖”或“教学成果奖”赋分。</w:t>
      </w:r>
    </w:p>
    <w:p>
      <w:pPr>
        <w:keepNext w:val="0"/>
        <w:keepLines w:val="0"/>
        <w:pageBreakBefore w:val="0"/>
        <w:wordWrap/>
        <w:overflowPunct/>
        <w:topLinePunct w:val="0"/>
        <w:bidi w:val="0"/>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二</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思政课教师参与省部级以上重要工作并有相关鉴定证明（如：公务员考试命题、专升本考试命题、学科与课程建设调研等），应参照“教学改革项目”级别赋分。</w:t>
      </w:r>
    </w:p>
    <w:p>
      <w:pPr>
        <w:keepNext w:val="0"/>
        <w:keepLines w:val="0"/>
        <w:pageBreakBefore w:val="0"/>
        <w:wordWrap/>
        <w:overflowPunct/>
        <w:topLinePunct w:val="0"/>
        <w:bidi w:val="0"/>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三</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思政课教师在中央主流媒体（如：</w:t>
      </w:r>
      <w:r>
        <w:rPr>
          <w:rFonts w:hint="eastAsia" w:ascii="仿宋_GB2312" w:hAnsi="仿宋_GB2312" w:eastAsia="仿宋_GB2312" w:cs="仿宋_GB2312"/>
          <w:sz w:val="32"/>
          <w:szCs w:val="32"/>
          <w:highlight w:val="none"/>
          <w:lang w:eastAsia="zh-CN"/>
        </w:rPr>
        <w:t>《人民日报》</w:t>
      </w:r>
      <w:r>
        <w:rPr>
          <w:rFonts w:hint="eastAsia" w:ascii="仿宋_GB2312" w:hAnsi="仿宋_GB2312" w:eastAsia="仿宋_GB2312" w:cs="仿宋_GB2312"/>
          <w:sz w:val="32"/>
          <w:szCs w:val="32"/>
          <w:highlight w:val="none"/>
        </w:rPr>
        <w:t>/人民网、</w:t>
      </w:r>
      <w:r>
        <w:rPr>
          <w:rFonts w:hint="eastAsia" w:ascii="仿宋_GB2312" w:hAnsi="仿宋_GB2312" w:eastAsia="仿宋_GB2312" w:cs="仿宋_GB2312"/>
          <w:sz w:val="32"/>
          <w:szCs w:val="32"/>
          <w:highlight w:val="none"/>
          <w:lang w:eastAsia="zh-CN"/>
        </w:rPr>
        <w:t>《光明日报》</w:t>
      </w:r>
      <w:r>
        <w:rPr>
          <w:rFonts w:hint="eastAsia" w:ascii="仿宋_GB2312" w:hAnsi="仿宋_GB2312" w:eastAsia="仿宋_GB2312" w:cs="仿宋_GB2312"/>
          <w:sz w:val="32"/>
          <w:szCs w:val="32"/>
          <w:highlight w:val="none"/>
        </w:rPr>
        <w:t>/光明网、《党建》等）发表的理论文章参照“A（权威期刊、报刊）”级别赋分，在地方主要党报党刊（如：《内蒙古日报》《实践》等）发表的理论文章参照“B（核心期刊、报刊）”级别赋分。</w:t>
      </w:r>
    </w:p>
    <w:p>
      <w:pPr>
        <w:keepNext w:val="0"/>
        <w:keepLines w:val="0"/>
        <w:pageBreakBefore w:val="0"/>
        <w:wordWrap/>
        <w:overflowPunct/>
        <w:topLinePunct w:val="0"/>
        <w:bidi w:val="0"/>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四</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思政课教师在中央和国家机关主管的</w:t>
      </w:r>
      <w:bookmarkStart w:id="8" w:name="_Hlk161822878"/>
      <w:r>
        <w:rPr>
          <w:rFonts w:hint="eastAsia" w:ascii="仿宋_GB2312" w:hAnsi="仿宋_GB2312" w:eastAsia="仿宋_GB2312" w:cs="仿宋_GB2312"/>
          <w:sz w:val="32"/>
          <w:szCs w:val="32"/>
          <w:highlight w:val="none"/>
        </w:rPr>
        <w:t>马克思主义理论类</w:t>
      </w:r>
      <w:bookmarkEnd w:id="8"/>
      <w:r>
        <w:rPr>
          <w:rFonts w:hint="eastAsia" w:ascii="仿宋_GB2312" w:hAnsi="仿宋_GB2312" w:eastAsia="仿宋_GB2312" w:cs="仿宋_GB2312"/>
          <w:sz w:val="32"/>
          <w:szCs w:val="32"/>
          <w:highlight w:val="none"/>
        </w:rPr>
        <w:t>学术期刊（如：《马克思主义研究》《思想理论教育导刊》等）发表的论文成果应参照“A（权威期刊、报刊）”级别赋分，在地方主要的马克思主义理论类学术期刊（如：《思想政治教育研究》等）发表的论文成果应参照“B（核心期刊、报刊）”级别赋分。</w:t>
      </w:r>
    </w:p>
    <w:p>
      <w:pPr>
        <w:keepNext w:val="0"/>
        <w:keepLines w:val="0"/>
        <w:pageBreakBefore w:val="0"/>
        <w:wordWrap/>
        <w:overflowPunct/>
        <w:topLinePunct w:val="0"/>
        <w:bidi w:val="0"/>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五</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思政课教师提交被中央和国家机关采纳的决策咨询报告，在国家级知名网络媒体上发表的正能量视频、理论性文章或论文论著且点击率达到10万以上的网络作品，参照“A（权威期刊、报刊）”级别赋分；思政课教师提交被省部级以上部门采纳的决策咨询报告，在省部级知名网络媒体上发表的正能量视频、理论性文章或论文论著且点击率达到5万以上的网络作品，参照“B（核心期刊、报刊）”</w:t>
      </w:r>
      <w:bookmarkStart w:id="9" w:name="_Hlk161823197"/>
      <w:r>
        <w:rPr>
          <w:rFonts w:hint="eastAsia" w:ascii="仿宋_GB2312" w:hAnsi="仿宋_GB2312" w:eastAsia="仿宋_GB2312" w:cs="仿宋_GB2312"/>
          <w:sz w:val="32"/>
          <w:szCs w:val="32"/>
          <w:highlight w:val="none"/>
        </w:rPr>
        <w:t>级别</w:t>
      </w:r>
      <w:bookmarkEnd w:id="9"/>
      <w:r>
        <w:rPr>
          <w:rFonts w:hint="eastAsia" w:ascii="仿宋_GB2312" w:hAnsi="仿宋_GB2312" w:eastAsia="仿宋_GB2312" w:cs="仿宋_GB2312"/>
          <w:sz w:val="32"/>
          <w:szCs w:val="32"/>
          <w:highlight w:val="none"/>
        </w:rPr>
        <w:t>赋分。</w:t>
      </w:r>
    </w:p>
    <w:p>
      <w:pPr>
        <w:keepNext w:val="0"/>
        <w:keepLines w:val="0"/>
        <w:pageBreakBefore w:val="0"/>
        <w:wordWrap/>
        <w:overflowPunct/>
        <w:topLinePunct w:val="0"/>
        <w:bidi w:val="0"/>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（六）思政课教师指导学生或青年教师参加各级比赛或实践活动获奖（如：全国、自治区高校思想政治理论课优秀成果展示活动等），应参照“教师教学比赛”相应级别赋分。</w:t>
      </w:r>
    </w:p>
    <w:p>
      <w:pPr>
        <w:keepNext w:val="0"/>
        <w:keepLines w:val="0"/>
        <w:pageBreakBefore w:val="0"/>
        <w:wordWrap/>
        <w:overflowPunct/>
        <w:topLinePunct w:val="0"/>
        <w:bidi w:val="0"/>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七</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思政课教师获得国家级、省/自治区级或校级思政名师工作室称号，应参照已结项的“教学团队负责人”级别赋分。</w:t>
      </w:r>
    </w:p>
    <w:p>
      <w:pPr>
        <w:keepNext w:val="0"/>
        <w:keepLines w:val="0"/>
        <w:pageBreakBefore w:val="0"/>
        <w:wordWrap/>
        <w:overflowPunct/>
        <w:topLinePunct w:val="0"/>
        <w:bidi w:val="0"/>
        <w:spacing w:line="560" w:lineRule="exact"/>
        <w:ind w:firstLine="640" w:firstLineChars="20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八</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思政课教师获得国家级、省/自治区级优秀思政课教师荣誉，应参照“教学成果奖”一等奖级别赋分。</w:t>
      </w:r>
    </w:p>
    <w:p>
      <w:pPr>
        <w:keepNext w:val="0"/>
        <w:keepLines w:val="0"/>
        <w:pageBreakBefore w:val="0"/>
        <w:wordWrap/>
        <w:overflowPunct/>
        <w:topLinePunct w:val="0"/>
        <w:bidi w:val="0"/>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九</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思政课教师不承担班主任工作，但是有思政导师和指导学生社团活动的工作任务，应参照“担任班主任和辅导员工作”标准赋分。</w:t>
      </w:r>
    </w:p>
    <w:p>
      <w:pPr>
        <w:keepNext w:val="0"/>
        <w:keepLines w:val="0"/>
        <w:pageBreakBefore w:val="0"/>
        <w:wordWrap/>
        <w:overflowPunct/>
        <w:topLinePunct w:val="0"/>
        <w:bidi w:val="0"/>
        <w:spacing w:after="156" w:afterLines="50"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十</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思政课教师参加全国高校思政课教学研讨会的获奖论文按照“</w:t>
      </w:r>
      <w:r>
        <w:rPr>
          <w:rFonts w:hint="eastAsia" w:ascii="仿宋_GB2312" w:hAnsi="仿宋_GB2312" w:eastAsia="仿宋_GB2312" w:cs="仿宋_GB2312"/>
          <w:sz w:val="32"/>
          <w:szCs w:val="32"/>
          <w:highlight w:val="none"/>
          <w:lang w:val="en-US" w:eastAsia="zh-CN"/>
        </w:rPr>
        <w:t>全国性学术会议大会报告</w:t>
      </w:r>
      <w:r>
        <w:rPr>
          <w:rFonts w:hint="eastAsia" w:ascii="仿宋_GB2312" w:hAnsi="仿宋_GB2312" w:eastAsia="仿宋_GB2312" w:cs="仿宋_GB2312"/>
          <w:sz w:val="32"/>
          <w:szCs w:val="32"/>
          <w:highlight w:val="none"/>
        </w:rPr>
        <w:t>”赋分。</w:t>
      </w:r>
    </w:p>
    <w:p>
      <w:pPr>
        <w:keepNext w:val="0"/>
        <w:keepLines w:val="0"/>
        <w:pageBreakBefore w:val="0"/>
        <w:wordWrap/>
        <w:overflowPunct/>
        <w:topLinePunct w:val="0"/>
        <w:bidi w:val="0"/>
        <w:spacing w:line="560" w:lineRule="exact"/>
        <w:jc w:val="center"/>
        <w:rPr>
          <w:rFonts w:ascii="微软雅黑" w:hAnsi="微软雅黑" w:eastAsia="微软雅黑"/>
          <w:sz w:val="30"/>
          <w:szCs w:val="30"/>
          <w:highlight w:val="none"/>
        </w:rPr>
      </w:pPr>
      <w:r>
        <w:rPr>
          <w:rFonts w:hint="eastAsia" w:ascii="微软雅黑" w:hAnsi="微软雅黑" w:eastAsia="微软雅黑"/>
          <w:sz w:val="30"/>
          <w:szCs w:val="30"/>
          <w:highlight w:val="none"/>
        </w:rPr>
        <w:t>内蒙古艺术学院马克思主义学院</w:t>
      </w:r>
    </w:p>
    <w:p>
      <w:pPr>
        <w:keepNext w:val="0"/>
        <w:keepLines w:val="0"/>
        <w:pageBreakBefore w:val="0"/>
        <w:wordWrap/>
        <w:overflowPunct/>
        <w:topLinePunct w:val="0"/>
        <w:bidi w:val="0"/>
        <w:spacing w:after="312" w:afterLines="100" w:line="560" w:lineRule="exact"/>
        <w:jc w:val="center"/>
        <w:rPr>
          <w:rFonts w:ascii="微软雅黑" w:hAnsi="微软雅黑" w:eastAsia="微软雅黑" w:cs="仿宋_GB2312"/>
          <w:color w:val="000000"/>
          <w:sz w:val="30"/>
          <w:szCs w:val="30"/>
          <w:highlight w:val="none"/>
        </w:rPr>
      </w:pPr>
      <w:r>
        <w:rPr>
          <w:rFonts w:hint="eastAsia" w:ascii="微软雅黑" w:hAnsi="微软雅黑" w:eastAsia="微软雅黑"/>
          <w:sz w:val="30"/>
          <w:szCs w:val="30"/>
          <w:highlight w:val="none"/>
        </w:rPr>
        <w:t>思政课教师</w:t>
      </w:r>
      <w:r>
        <w:rPr>
          <w:rFonts w:hint="eastAsia" w:ascii="微软雅黑" w:hAnsi="微软雅黑" w:eastAsia="微软雅黑" w:cs="仿宋_GB2312"/>
          <w:color w:val="000000"/>
          <w:sz w:val="30"/>
          <w:szCs w:val="30"/>
          <w:highlight w:val="none"/>
        </w:rPr>
        <w:t>教育教学成果（补充）赋分建议</w:t>
      </w:r>
    </w:p>
    <w:p>
      <w:pPr>
        <w:keepNext w:val="0"/>
        <w:keepLines w:val="0"/>
        <w:pageBreakBefore w:val="0"/>
        <w:wordWrap/>
        <w:overflowPunct/>
        <w:topLinePunct w:val="0"/>
        <w:bidi w:val="0"/>
        <w:spacing w:line="560" w:lineRule="exact"/>
        <w:jc w:val="left"/>
        <w:rPr>
          <w:rFonts w:hint="eastAsia" w:ascii="微软雅黑" w:hAnsi="微软雅黑" w:eastAsia="微软雅黑" w:cs="仿宋_GB2312"/>
          <w:color w:val="000000"/>
          <w:sz w:val="24"/>
          <w:szCs w:val="24"/>
          <w:highlight w:val="none"/>
        </w:rPr>
      </w:pPr>
      <w:r>
        <w:rPr>
          <w:rFonts w:hint="eastAsia" w:ascii="微软雅黑" w:hAnsi="微软雅黑" w:eastAsia="微软雅黑" w:cs="仿宋_GB2312"/>
          <w:color w:val="000000"/>
          <w:sz w:val="24"/>
          <w:szCs w:val="24"/>
          <w:highlight w:val="none"/>
        </w:rPr>
        <w:t>表1：</w:t>
      </w:r>
    </w:p>
    <w:tbl>
      <w:tblPr>
        <w:tblStyle w:val="10"/>
        <w:tblW w:w="9130" w:type="dxa"/>
        <w:tblInd w:w="-5" w:type="dxa"/>
        <w:tblLayout w:type="autofit"/>
        <w:tblCellMar>
          <w:top w:w="53" w:type="dxa"/>
          <w:left w:w="107" w:type="dxa"/>
          <w:bottom w:w="0" w:type="dxa"/>
          <w:right w:w="78" w:type="dxa"/>
        </w:tblCellMar>
      </w:tblPr>
      <w:tblGrid>
        <w:gridCol w:w="1243"/>
        <w:gridCol w:w="2520"/>
        <w:gridCol w:w="1253"/>
        <w:gridCol w:w="1433"/>
        <w:gridCol w:w="1353"/>
        <w:gridCol w:w="1328"/>
      </w:tblGrid>
      <w:tr>
        <w:tblPrEx>
          <w:tblCellMar>
            <w:top w:w="53" w:type="dxa"/>
            <w:left w:w="107" w:type="dxa"/>
            <w:bottom w:w="0" w:type="dxa"/>
            <w:right w:w="78" w:type="dxa"/>
          </w:tblCellMar>
        </w:tblPrEx>
        <w:trPr>
          <w:trHeight w:val="511" w:hRule="atLeast"/>
        </w:trPr>
        <w:tc>
          <w:tcPr>
            <w:tcW w:w="5013" w:type="dxa"/>
            <w:gridSpan w:val="3"/>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wordWrap/>
              <w:overflowPunct/>
              <w:topLinePunct w:val="0"/>
              <w:bidi w:val="0"/>
              <w:spacing w:line="560" w:lineRule="exact"/>
              <w:jc w:val="center"/>
              <w:rPr>
                <w:rFonts w:ascii="黑体" w:hAnsi="黑体" w:eastAsia="黑体" w:cs="仿宋_GB2312"/>
                <w:color w:val="000000"/>
                <w:sz w:val="24"/>
                <w:szCs w:val="24"/>
                <w:highlight w:val="none"/>
              </w:rPr>
            </w:pPr>
            <w:r>
              <w:rPr>
                <w:rFonts w:ascii="黑体" w:hAnsi="黑体" w:eastAsia="黑体" w:cs="仿宋_GB2312"/>
                <w:color w:val="000000"/>
                <w:sz w:val="24"/>
                <w:szCs w:val="24"/>
                <w:highlight w:val="none"/>
              </w:rPr>
              <w:t>项目</w:t>
            </w:r>
          </w:p>
        </w:tc>
        <w:tc>
          <w:tcPr>
            <w:tcW w:w="2788" w:type="dxa"/>
            <w:gridSpan w:val="2"/>
            <w:tcBorders>
              <w:top w:val="single" w:color="000000" w:sz="4" w:space="0"/>
              <w:left w:val="single" w:color="000000" w:sz="4" w:space="0"/>
              <w:bottom w:val="single" w:color="000000" w:sz="4" w:space="0"/>
              <w:right w:val="nil"/>
            </w:tcBorders>
            <w:noWrap w:val="0"/>
            <w:vAlign w:val="top"/>
          </w:tcPr>
          <w:p>
            <w:pPr>
              <w:keepNext w:val="0"/>
              <w:keepLines w:val="0"/>
              <w:pageBreakBefore w:val="0"/>
              <w:widowControl/>
              <w:wordWrap/>
              <w:overflowPunct/>
              <w:topLinePunct w:val="0"/>
              <w:bidi w:val="0"/>
              <w:spacing w:line="560" w:lineRule="exact"/>
              <w:jc w:val="right"/>
              <w:rPr>
                <w:rFonts w:ascii="黑体" w:hAnsi="黑体" w:eastAsia="黑体" w:cs="仿宋_GB2312"/>
                <w:color w:val="000000"/>
                <w:sz w:val="24"/>
                <w:szCs w:val="24"/>
                <w:highlight w:val="none"/>
              </w:rPr>
            </w:pPr>
            <w:r>
              <w:rPr>
                <w:rFonts w:ascii="黑体" w:hAnsi="黑体" w:eastAsia="黑体" w:cs="仿宋_GB2312"/>
                <w:color w:val="000000"/>
                <w:sz w:val="24"/>
                <w:szCs w:val="24"/>
                <w:highlight w:val="none"/>
              </w:rPr>
              <w:t>分级与分值</w:t>
            </w:r>
          </w:p>
        </w:tc>
        <w:tc>
          <w:tcPr>
            <w:tcW w:w="1329" w:type="dxa"/>
            <w:tcBorders>
              <w:top w:val="single" w:color="000000" w:sz="4" w:space="0"/>
              <w:left w:val="nil"/>
              <w:bottom w:val="single" w:color="000000" w:sz="4" w:space="0"/>
              <w:right w:val="single" w:color="000000" w:sz="4" w:space="0"/>
            </w:tcBorders>
            <w:noWrap w:val="0"/>
            <w:vAlign w:val="top"/>
          </w:tcPr>
          <w:p>
            <w:pPr>
              <w:keepNext w:val="0"/>
              <w:keepLines w:val="0"/>
              <w:pageBreakBefore w:val="0"/>
              <w:widowControl/>
              <w:wordWrap/>
              <w:overflowPunct/>
              <w:topLinePunct w:val="0"/>
              <w:bidi w:val="0"/>
              <w:spacing w:line="560" w:lineRule="exact"/>
              <w:jc w:val="left"/>
              <w:rPr>
                <w:rFonts w:hint="eastAsia" w:ascii="黑体" w:hAnsi="黑体" w:eastAsia="黑体" w:cs="仿宋_GB2312"/>
                <w:color w:val="000000"/>
                <w:sz w:val="24"/>
                <w:szCs w:val="24"/>
                <w:highlight w:val="none"/>
              </w:rPr>
            </w:pPr>
          </w:p>
        </w:tc>
      </w:tr>
      <w:tr>
        <w:tblPrEx>
          <w:tblCellMar>
            <w:top w:w="53" w:type="dxa"/>
            <w:left w:w="107" w:type="dxa"/>
            <w:bottom w:w="0" w:type="dxa"/>
            <w:right w:w="78" w:type="dxa"/>
          </w:tblCellMar>
        </w:tblPrEx>
        <w:trPr>
          <w:trHeight w:val="460" w:hRule="atLeast"/>
        </w:trPr>
        <w:tc>
          <w:tcPr>
            <w:tcW w:w="5013" w:type="dxa"/>
            <w:gridSpan w:val="3"/>
            <w:vMerge w:val="continue"/>
            <w:tcBorders>
              <w:top w:val="nil"/>
              <w:left w:val="single" w:color="000000" w:sz="4" w:space="0"/>
              <w:bottom w:val="single" w:color="000000" w:sz="4" w:space="0"/>
              <w:right w:val="single" w:color="000000" w:sz="4" w:space="0"/>
            </w:tcBorders>
            <w:noWrap w:val="0"/>
            <w:vAlign w:val="top"/>
          </w:tcPr>
          <w:p>
            <w:pPr>
              <w:keepNext w:val="0"/>
              <w:keepLines w:val="0"/>
              <w:pageBreakBefore w:val="0"/>
              <w:widowControl/>
              <w:wordWrap/>
              <w:overflowPunct/>
              <w:topLinePunct w:val="0"/>
              <w:bidi w:val="0"/>
              <w:spacing w:line="560" w:lineRule="exact"/>
              <w:jc w:val="left"/>
              <w:rPr>
                <w:rFonts w:ascii="黑体" w:hAnsi="黑体" w:eastAsia="黑体" w:cs="仿宋_GB2312"/>
                <w:color w:val="000000"/>
                <w:sz w:val="24"/>
                <w:szCs w:val="24"/>
                <w:highlight w:val="none"/>
              </w:rPr>
            </w:pPr>
          </w:p>
        </w:tc>
        <w:tc>
          <w:tcPr>
            <w:tcW w:w="1434"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wordWrap/>
              <w:overflowPunct/>
              <w:topLinePunct w:val="0"/>
              <w:bidi w:val="0"/>
              <w:spacing w:line="560" w:lineRule="exact"/>
              <w:ind w:left="196"/>
              <w:rPr>
                <w:rFonts w:ascii="黑体" w:hAnsi="黑体" w:eastAsia="黑体" w:cs="仿宋_GB2312"/>
                <w:color w:val="000000"/>
                <w:sz w:val="24"/>
                <w:szCs w:val="24"/>
                <w:highlight w:val="none"/>
              </w:rPr>
            </w:pPr>
            <w:r>
              <w:rPr>
                <w:rFonts w:ascii="黑体" w:hAnsi="黑体" w:eastAsia="黑体" w:cs="仿宋_GB2312"/>
                <w:color w:val="000000"/>
                <w:sz w:val="24"/>
                <w:szCs w:val="24"/>
                <w:highlight w:val="none"/>
              </w:rPr>
              <w:t>国家级</w:t>
            </w:r>
          </w:p>
        </w:tc>
        <w:tc>
          <w:tcPr>
            <w:tcW w:w="1354"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wordWrap/>
              <w:overflowPunct/>
              <w:topLinePunct w:val="0"/>
              <w:bidi w:val="0"/>
              <w:spacing w:line="560" w:lineRule="exact"/>
              <w:ind w:left="39"/>
              <w:rPr>
                <w:rFonts w:ascii="黑体" w:hAnsi="黑体" w:eastAsia="黑体" w:cs="仿宋_GB2312"/>
                <w:color w:val="000000"/>
                <w:sz w:val="24"/>
                <w:szCs w:val="24"/>
                <w:highlight w:val="none"/>
              </w:rPr>
            </w:pPr>
            <w:r>
              <w:rPr>
                <w:rFonts w:ascii="黑体" w:hAnsi="黑体" w:eastAsia="黑体" w:cs="仿宋_GB2312"/>
                <w:color w:val="000000"/>
                <w:sz w:val="24"/>
                <w:szCs w:val="24"/>
                <w:highlight w:val="none"/>
              </w:rPr>
              <w:t>自治区级</w:t>
            </w:r>
          </w:p>
        </w:tc>
        <w:tc>
          <w:tcPr>
            <w:tcW w:w="1329"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wordWrap/>
              <w:overflowPunct/>
              <w:topLinePunct w:val="0"/>
              <w:bidi w:val="0"/>
              <w:spacing w:line="560" w:lineRule="exact"/>
              <w:ind w:left="363"/>
              <w:jc w:val="left"/>
              <w:rPr>
                <w:rFonts w:ascii="黑体" w:hAnsi="黑体" w:eastAsia="黑体" w:cs="仿宋_GB2312"/>
                <w:color w:val="000000"/>
                <w:sz w:val="24"/>
                <w:szCs w:val="24"/>
                <w:highlight w:val="none"/>
              </w:rPr>
            </w:pPr>
            <w:r>
              <w:rPr>
                <w:rFonts w:ascii="黑体" w:hAnsi="黑体" w:eastAsia="黑体" w:cs="仿宋_GB2312"/>
                <w:color w:val="000000"/>
                <w:sz w:val="24"/>
                <w:szCs w:val="24"/>
                <w:highlight w:val="none"/>
              </w:rPr>
              <w:t>校级</w:t>
            </w:r>
          </w:p>
        </w:tc>
      </w:tr>
      <w:tr>
        <w:tblPrEx>
          <w:tblCellMar>
            <w:top w:w="53" w:type="dxa"/>
            <w:left w:w="107" w:type="dxa"/>
            <w:bottom w:w="0" w:type="dxa"/>
            <w:right w:w="78" w:type="dxa"/>
          </w:tblCellMar>
        </w:tblPrEx>
        <w:trPr>
          <w:trHeight w:val="963" w:hRule="atLeast"/>
        </w:trPr>
        <w:tc>
          <w:tcPr>
            <w:tcW w:w="124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wordWrap/>
              <w:overflowPunct/>
              <w:topLinePunct w:val="0"/>
              <w:bidi w:val="0"/>
              <w:spacing w:line="560" w:lineRule="exact"/>
              <w:jc w:val="center"/>
              <w:rPr>
                <w:rFonts w:ascii="仿宋_GB2312" w:hAnsi="仿宋_GB2312" w:eastAsia="仿宋_GB2312" w:cs="仿宋_GB2312"/>
                <w:color w:val="000000"/>
                <w:sz w:val="24"/>
                <w:szCs w:val="24"/>
                <w:highlight w:val="none"/>
              </w:rPr>
            </w:pPr>
            <w:r>
              <w:rPr>
                <w:rFonts w:ascii="仿宋_GB2312" w:hAnsi="仿宋_GB2312" w:eastAsia="仿宋_GB2312" w:cs="仿宋_GB2312"/>
                <w:color w:val="000000"/>
                <w:sz w:val="24"/>
                <w:szCs w:val="24"/>
                <w:highlight w:val="none"/>
              </w:rPr>
              <w:t>思政课教学</w:t>
            </w:r>
            <w:r>
              <w:rPr>
                <w:rFonts w:hint="eastAsia" w:ascii="仿宋_GB2312" w:hAnsi="仿宋_GB2312" w:eastAsia="仿宋_GB2312" w:cs="仿宋_GB2312"/>
                <w:color w:val="000000"/>
                <w:sz w:val="24"/>
                <w:szCs w:val="24"/>
                <w:highlight w:val="none"/>
              </w:rPr>
              <w:t>展示活动</w:t>
            </w:r>
            <w:r>
              <w:rPr>
                <w:rFonts w:ascii="仿宋_GB2312" w:hAnsi="仿宋_GB2312" w:eastAsia="仿宋_GB2312" w:cs="仿宋_GB2312"/>
                <w:color w:val="000000"/>
                <w:sz w:val="24"/>
                <w:szCs w:val="24"/>
                <w:highlight w:val="none"/>
              </w:rPr>
              <w:t>获奖</w:t>
            </w:r>
          </w:p>
        </w:tc>
        <w:tc>
          <w:tcPr>
            <w:tcW w:w="251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wordWrap/>
              <w:overflowPunct/>
              <w:topLinePunct w:val="0"/>
              <w:bidi w:val="0"/>
              <w:spacing w:line="560" w:lineRule="exact"/>
              <w:ind w:left="174"/>
              <w:rPr>
                <w:rFonts w:ascii="仿宋_GB2312" w:hAnsi="仿宋_GB2312" w:eastAsia="仿宋_GB2312" w:cs="仿宋_GB2312"/>
                <w:color w:val="000000"/>
                <w:sz w:val="24"/>
                <w:szCs w:val="24"/>
                <w:highlight w:val="none"/>
              </w:rPr>
            </w:pPr>
            <w:r>
              <w:rPr>
                <w:rFonts w:ascii="仿宋_GB2312" w:hAnsi="仿宋_GB2312" w:eastAsia="仿宋_GB2312" w:cs="仿宋_GB2312"/>
                <w:color w:val="000000"/>
                <w:sz w:val="24"/>
                <w:szCs w:val="24"/>
                <w:highlight w:val="none"/>
              </w:rPr>
              <w:t>特等奖</w:t>
            </w:r>
          </w:p>
        </w:tc>
        <w:tc>
          <w:tcPr>
            <w:tcW w:w="1255"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wordWrap/>
              <w:overflowPunct/>
              <w:topLinePunct w:val="0"/>
              <w:bidi w:val="0"/>
              <w:spacing w:line="560" w:lineRule="exact"/>
              <w:ind w:left="136"/>
              <w:jc w:val="center"/>
              <w:rPr>
                <w:rFonts w:ascii="仿宋_GB2312" w:hAnsi="仿宋_GB2312" w:eastAsia="仿宋_GB2312" w:cs="仿宋_GB2312"/>
                <w:color w:val="000000"/>
                <w:sz w:val="24"/>
                <w:szCs w:val="24"/>
                <w:highlight w:val="none"/>
              </w:rPr>
            </w:pPr>
            <w:r>
              <w:rPr>
                <w:rFonts w:ascii="仿宋_GB2312" w:hAnsi="仿宋_GB2312" w:eastAsia="仿宋_GB2312" w:cs="仿宋_GB2312"/>
                <w:b/>
                <w:bCs/>
                <w:color w:val="000000"/>
                <w:sz w:val="24"/>
                <w:szCs w:val="24"/>
                <w:highlight w:val="none"/>
              </w:rPr>
              <w:t>负责人</w:t>
            </w:r>
          </w:p>
        </w:tc>
        <w:tc>
          <w:tcPr>
            <w:tcW w:w="1434" w:type="dxa"/>
            <w:tcBorders>
              <w:top w:val="single" w:color="000000" w:sz="4" w:space="0"/>
              <w:left w:val="single" w:color="000000" w:sz="4" w:space="0"/>
              <w:bottom w:val="single" w:color="auto" w:sz="4" w:space="0"/>
              <w:right w:val="single" w:color="000000" w:sz="4" w:space="0"/>
            </w:tcBorders>
            <w:noWrap w:val="0"/>
            <w:vAlign w:val="top"/>
          </w:tcPr>
          <w:p>
            <w:pPr>
              <w:keepNext w:val="0"/>
              <w:keepLines w:val="0"/>
              <w:pageBreakBefore w:val="0"/>
              <w:widowControl/>
              <w:wordWrap/>
              <w:overflowPunct/>
              <w:topLinePunct w:val="0"/>
              <w:bidi w:val="0"/>
              <w:spacing w:line="560" w:lineRule="exact"/>
              <w:jc w:val="center"/>
              <w:rPr>
                <w:rFonts w:ascii="仿宋_GB2312" w:hAnsi="仿宋_GB2312" w:eastAsia="仿宋_GB2312" w:cs="仿宋_GB2312"/>
                <w:color w:val="000000"/>
                <w:sz w:val="24"/>
                <w:szCs w:val="24"/>
                <w:highlight w:val="none"/>
              </w:rPr>
            </w:pPr>
            <w:r>
              <w:rPr>
                <w:rFonts w:hint="eastAsia" w:ascii="Times New Roman" w:hAnsi="Times New Roman" w:eastAsia="Times New Roman" w:cs="Times New Roman"/>
                <w:color w:val="000000"/>
                <w:sz w:val="24"/>
                <w:szCs w:val="24"/>
                <w:highlight w:val="none"/>
              </w:rPr>
              <w:t>36</w:t>
            </w:r>
          </w:p>
        </w:tc>
        <w:tc>
          <w:tcPr>
            <w:tcW w:w="1354" w:type="dxa"/>
            <w:tcBorders>
              <w:top w:val="single" w:color="000000" w:sz="4" w:space="0"/>
              <w:left w:val="single" w:color="000000" w:sz="4" w:space="0"/>
              <w:bottom w:val="single" w:color="auto" w:sz="4" w:space="0"/>
              <w:right w:val="single" w:color="000000" w:sz="4" w:space="0"/>
            </w:tcBorders>
            <w:noWrap w:val="0"/>
            <w:vAlign w:val="top"/>
          </w:tcPr>
          <w:p>
            <w:pPr>
              <w:keepNext w:val="0"/>
              <w:keepLines w:val="0"/>
              <w:pageBreakBefore w:val="0"/>
              <w:widowControl/>
              <w:wordWrap/>
              <w:overflowPunct/>
              <w:topLinePunct w:val="0"/>
              <w:bidi w:val="0"/>
              <w:spacing w:line="560" w:lineRule="exact"/>
              <w:jc w:val="center"/>
              <w:rPr>
                <w:rFonts w:hint="eastAsia" w:ascii="仿宋_GB2312" w:hAnsi="仿宋_GB2312" w:eastAsia="仿宋_GB2312" w:cs="仿宋_GB2312"/>
                <w:color w:val="000000"/>
                <w:sz w:val="24"/>
                <w:szCs w:val="24"/>
                <w:highlight w:val="none"/>
                <w:lang w:eastAsia="zh-CN"/>
              </w:rPr>
            </w:pPr>
            <w:r>
              <w:rPr>
                <w:rFonts w:hint="eastAsia" w:ascii="仿宋_GB2312" w:hAnsi="仿宋_GB2312" w:eastAsia="仿宋_GB2312" w:cs="仿宋_GB2312"/>
                <w:color w:val="000000"/>
                <w:sz w:val="24"/>
                <w:szCs w:val="24"/>
                <w:highlight w:val="none"/>
                <w:lang w:eastAsia="zh-CN"/>
              </w:rPr>
              <w:t>——</w:t>
            </w:r>
          </w:p>
        </w:tc>
        <w:tc>
          <w:tcPr>
            <w:tcW w:w="1329" w:type="dxa"/>
            <w:tcBorders>
              <w:top w:val="single" w:color="000000" w:sz="4" w:space="0"/>
              <w:left w:val="single" w:color="000000" w:sz="4" w:space="0"/>
              <w:bottom w:val="single" w:color="auto" w:sz="4" w:space="0"/>
              <w:right w:val="single" w:color="000000" w:sz="4" w:space="0"/>
            </w:tcBorders>
            <w:noWrap w:val="0"/>
            <w:vAlign w:val="top"/>
          </w:tcPr>
          <w:p>
            <w:pPr>
              <w:keepNext w:val="0"/>
              <w:keepLines w:val="0"/>
              <w:pageBreakBefore w:val="0"/>
              <w:widowControl/>
              <w:wordWrap/>
              <w:overflowPunct/>
              <w:topLinePunct w:val="0"/>
              <w:bidi w:val="0"/>
              <w:spacing w:line="560" w:lineRule="exact"/>
              <w:jc w:val="center"/>
              <w:rPr>
                <w:rFonts w:hint="eastAsia" w:ascii="仿宋_GB2312" w:hAnsi="仿宋_GB2312" w:eastAsia="仿宋_GB2312" w:cs="仿宋_GB2312"/>
                <w:color w:val="000000"/>
                <w:sz w:val="24"/>
                <w:szCs w:val="24"/>
                <w:highlight w:val="none"/>
                <w:lang w:eastAsia="zh-CN"/>
              </w:rPr>
            </w:pPr>
            <w:r>
              <w:rPr>
                <w:rFonts w:hint="eastAsia" w:ascii="仿宋_GB2312" w:hAnsi="仿宋_GB2312" w:eastAsia="仿宋_GB2312" w:cs="仿宋_GB2312"/>
                <w:color w:val="000000"/>
                <w:sz w:val="24"/>
                <w:szCs w:val="24"/>
                <w:highlight w:val="none"/>
                <w:lang w:eastAsia="zh-CN"/>
              </w:rPr>
              <w:t>——</w:t>
            </w:r>
          </w:p>
        </w:tc>
      </w:tr>
      <w:tr>
        <w:tblPrEx>
          <w:tblCellMar>
            <w:top w:w="53" w:type="dxa"/>
            <w:left w:w="107" w:type="dxa"/>
            <w:bottom w:w="0" w:type="dxa"/>
            <w:right w:w="78" w:type="dxa"/>
          </w:tblCellMar>
        </w:tblPrEx>
        <w:trPr>
          <w:trHeight w:val="701" w:hRule="atLeast"/>
        </w:trPr>
        <w:tc>
          <w:tcPr>
            <w:tcW w:w="1244" w:type="dxa"/>
            <w:vMerge w:val="continue"/>
            <w:tcBorders>
              <w:top w:val="nil"/>
              <w:left w:val="single" w:color="000000" w:sz="4" w:space="0"/>
              <w:bottom w:val="nil"/>
              <w:right w:val="single" w:color="000000" w:sz="4" w:space="0"/>
            </w:tcBorders>
            <w:noWrap w:val="0"/>
            <w:vAlign w:val="top"/>
          </w:tcPr>
          <w:p>
            <w:pPr>
              <w:keepNext w:val="0"/>
              <w:keepLines w:val="0"/>
              <w:pageBreakBefore w:val="0"/>
              <w:widowControl/>
              <w:wordWrap/>
              <w:overflowPunct/>
              <w:topLinePunct w:val="0"/>
              <w:bidi w:val="0"/>
              <w:spacing w:line="560" w:lineRule="exact"/>
              <w:jc w:val="left"/>
              <w:rPr>
                <w:rFonts w:ascii="仿宋_GB2312" w:hAnsi="仿宋_GB2312" w:eastAsia="仿宋_GB2312" w:cs="仿宋_GB2312"/>
                <w:color w:val="000000"/>
                <w:sz w:val="24"/>
                <w:szCs w:val="24"/>
                <w:highlight w:val="none"/>
              </w:rPr>
            </w:pPr>
          </w:p>
        </w:tc>
        <w:tc>
          <w:tcPr>
            <w:tcW w:w="0" w:type="auto"/>
            <w:vMerge w:val="continue"/>
            <w:tcBorders>
              <w:top w:val="nil"/>
              <w:left w:val="single" w:color="000000" w:sz="4" w:space="0"/>
              <w:bottom w:val="single" w:color="000000" w:sz="4" w:space="0"/>
              <w:right w:val="single" w:color="000000" w:sz="4" w:space="0"/>
            </w:tcBorders>
            <w:noWrap w:val="0"/>
            <w:vAlign w:val="top"/>
          </w:tcPr>
          <w:p>
            <w:pPr>
              <w:keepNext w:val="0"/>
              <w:keepLines w:val="0"/>
              <w:pageBreakBefore w:val="0"/>
              <w:widowControl/>
              <w:wordWrap/>
              <w:overflowPunct/>
              <w:topLinePunct w:val="0"/>
              <w:bidi w:val="0"/>
              <w:spacing w:line="560" w:lineRule="exact"/>
              <w:jc w:val="left"/>
              <w:rPr>
                <w:rFonts w:ascii="仿宋_GB2312" w:hAnsi="仿宋_GB2312" w:eastAsia="仿宋_GB2312" w:cs="仿宋_GB2312"/>
                <w:color w:val="000000"/>
                <w:sz w:val="24"/>
                <w:szCs w:val="24"/>
                <w:highlight w:val="none"/>
              </w:rPr>
            </w:pPr>
          </w:p>
        </w:tc>
        <w:tc>
          <w:tcPr>
            <w:tcW w:w="1255" w:type="dxa"/>
            <w:tcBorders>
              <w:top w:val="single" w:color="000000" w:sz="4" w:space="0"/>
              <w:left w:val="single" w:color="000000" w:sz="4" w:space="0"/>
              <w:bottom w:val="single" w:color="000000" w:sz="4" w:space="0"/>
              <w:right w:val="single" w:color="auto"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left="0"/>
              <w:jc w:val="center"/>
              <w:textAlignment w:val="auto"/>
              <w:rPr>
                <w:rFonts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lang w:val="en-US" w:eastAsia="zh-CN"/>
              </w:rPr>
              <w:t>成员前1/3</w:t>
            </w:r>
          </w:p>
        </w:tc>
        <w:tc>
          <w:tcPr>
            <w:tcW w:w="1434"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left="0"/>
              <w:jc w:val="center"/>
              <w:textAlignment w:val="auto"/>
              <w:rPr>
                <w:rFonts w:hint="default"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val="en-US" w:eastAsia="zh-CN"/>
              </w:rPr>
              <w:t>33</w:t>
            </w:r>
          </w:p>
        </w:tc>
        <w:tc>
          <w:tcPr>
            <w:tcW w:w="1354"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left="0"/>
              <w:jc w:val="center"/>
              <w:textAlignment w:val="auto"/>
              <w:rPr>
                <w:rFonts w:hint="eastAsia"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val="en-US" w:eastAsia="zh-CN"/>
              </w:rPr>
              <w:t>——</w:t>
            </w:r>
          </w:p>
        </w:tc>
        <w:tc>
          <w:tcPr>
            <w:tcW w:w="1329"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left="0"/>
              <w:jc w:val="center"/>
              <w:textAlignment w:val="auto"/>
              <w:rPr>
                <w:rFonts w:hint="eastAsia"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val="en-US" w:eastAsia="zh-CN"/>
              </w:rPr>
              <w:t>——</w:t>
            </w:r>
          </w:p>
        </w:tc>
      </w:tr>
      <w:tr>
        <w:tblPrEx>
          <w:tblCellMar>
            <w:top w:w="53" w:type="dxa"/>
            <w:left w:w="107" w:type="dxa"/>
            <w:bottom w:w="0" w:type="dxa"/>
            <w:right w:w="78" w:type="dxa"/>
          </w:tblCellMar>
        </w:tblPrEx>
        <w:trPr>
          <w:trHeight w:val="207" w:hRule="atLeast"/>
        </w:trPr>
        <w:tc>
          <w:tcPr>
            <w:tcW w:w="1244" w:type="dxa"/>
            <w:vMerge w:val="continue"/>
            <w:tcBorders>
              <w:top w:val="nil"/>
              <w:left w:val="single" w:color="000000" w:sz="4" w:space="0"/>
              <w:bottom w:val="nil"/>
              <w:right w:val="single" w:color="000000" w:sz="4" w:space="0"/>
            </w:tcBorders>
            <w:noWrap w:val="0"/>
            <w:vAlign w:val="top"/>
          </w:tcPr>
          <w:p>
            <w:pPr>
              <w:keepNext w:val="0"/>
              <w:keepLines w:val="0"/>
              <w:pageBreakBefore w:val="0"/>
              <w:widowControl/>
              <w:wordWrap/>
              <w:overflowPunct/>
              <w:topLinePunct w:val="0"/>
              <w:bidi w:val="0"/>
              <w:spacing w:line="560" w:lineRule="exact"/>
              <w:ind w:left="295"/>
              <w:jc w:val="left"/>
              <w:rPr>
                <w:highlight w:val="none"/>
              </w:rPr>
            </w:pPr>
          </w:p>
        </w:tc>
        <w:tc>
          <w:tcPr>
            <w:tcW w:w="0" w:type="auto"/>
            <w:vMerge w:val="continue"/>
            <w:tcBorders>
              <w:top w:val="nil"/>
              <w:left w:val="single" w:color="000000" w:sz="4" w:space="0"/>
              <w:bottom w:val="single" w:color="000000" w:sz="4" w:space="0"/>
              <w:right w:val="single" w:color="000000" w:sz="4" w:space="0"/>
            </w:tcBorders>
            <w:noWrap w:val="0"/>
            <w:vAlign w:val="top"/>
          </w:tcPr>
          <w:p>
            <w:pPr>
              <w:keepNext w:val="0"/>
              <w:keepLines w:val="0"/>
              <w:pageBreakBefore w:val="0"/>
              <w:widowControl/>
              <w:wordWrap/>
              <w:overflowPunct/>
              <w:topLinePunct w:val="0"/>
              <w:bidi w:val="0"/>
              <w:spacing w:line="560" w:lineRule="exact"/>
              <w:ind w:left="295"/>
              <w:jc w:val="left"/>
              <w:rPr>
                <w:highlight w:val="none"/>
              </w:rPr>
            </w:pPr>
          </w:p>
        </w:tc>
        <w:tc>
          <w:tcPr>
            <w:tcW w:w="1255" w:type="dxa"/>
            <w:tcBorders>
              <w:top w:val="single" w:color="000000" w:sz="4" w:space="0"/>
              <w:left w:val="single" w:color="000000" w:sz="4" w:space="0"/>
              <w:bottom w:val="single" w:color="000000" w:sz="4" w:space="0"/>
              <w:right w:val="single" w:color="auto"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left="0"/>
              <w:jc w:val="center"/>
              <w:textAlignment w:val="auto"/>
              <w:rPr>
                <w:highlight w:val="none"/>
              </w:rPr>
            </w:pPr>
            <w:r>
              <w:rPr>
                <w:rFonts w:hint="eastAsia" w:ascii="仿宋_GB2312" w:hAnsi="仿宋_GB2312" w:eastAsia="仿宋_GB2312" w:cs="仿宋_GB2312"/>
                <w:color w:val="000000"/>
                <w:sz w:val="24"/>
                <w:szCs w:val="24"/>
                <w:highlight w:val="none"/>
                <w:lang w:val="en-US" w:eastAsia="zh-CN"/>
              </w:rPr>
              <w:t>成员中1/3</w:t>
            </w:r>
          </w:p>
        </w:tc>
        <w:tc>
          <w:tcPr>
            <w:tcW w:w="1434"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left="0"/>
              <w:jc w:val="center"/>
              <w:textAlignment w:val="auto"/>
              <w:rPr>
                <w:rFonts w:hint="default"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val="en-US" w:eastAsia="zh-CN"/>
              </w:rPr>
              <w:t>30</w:t>
            </w:r>
          </w:p>
        </w:tc>
        <w:tc>
          <w:tcPr>
            <w:tcW w:w="1354"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left="0"/>
              <w:jc w:val="center"/>
              <w:textAlignment w:val="auto"/>
              <w:rPr>
                <w:rFonts w:hint="eastAsia"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val="en-US" w:eastAsia="zh-CN"/>
              </w:rPr>
              <w:t>——</w:t>
            </w:r>
          </w:p>
        </w:tc>
        <w:tc>
          <w:tcPr>
            <w:tcW w:w="1329"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left="0"/>
              <w:jc w:val="center"/>
              <w:textAlignment w:val="auto"/>
              <w:rPr>
                <w:rFonts w:hint="eastAsia"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val="en-US" w:eastAsia="zh-CN"/>
              </w:rPr>
              <w:t>——</w:t>
            </w:r>
          </w:p>
        </w:tc>
      </w:tr>
      <w:tr>
        <w:tblPrEx>
          <w:tblCellMar>
            <w:top w:w="53" w:type="dxa"/>
            <w:left w:w="107" w:type="dxa"/>
            <w:bottom w:w="0" w:type="dxa"/>
            <w:right w:w="78" w:type="dxa"/>
          </w:tblCellMar>
        </w:tblPrEx>
        <w:trPr>
          <w:trHeight w:val="207" w:hRule="atLeast"/>
        </w:trPr>
        <w:tc>
          <w:tcPr>
            <w:tcW w:w="1244" w:type="dxa"/>
            <w:vMerge w:val="continue"/>
            <w:tcBorders>
              <w:left w:val="single" w:color="000000" w:sz="4" w:space="0"/>
              <w:bottom w:val="nil"/>
              <w:right w:val="single" w:color="000000" w:sz="4" w:space="0"/>
            </w:tcBorders>
            <w:noWrap w:val="0"/>
            <w:vAlign w:val="top"/>
          </w:tcPr>
          <w:p>
            <w:pPr>
              <w:keepNext w:val="0"/>
              <w:keepLines w:val="0"/>
              <w:pageBreakBefore w:val="0"/>
              <w:widowControl/>
              <w:wordWrap/>
              <w:overflowPunct/>
              <w:topLinePunct w:val="0"/>
              <w:bidi w:val="0"/>
              <w:spacing w:line="560" w:lineRule="exact"/>
              <w:ind w:left="295"/>
              <w:jc w:val="left"/>
              <w:rPr>
                <w:highlight w:val="none"/>
              </w:rPr>
            </w:pPr>
          </w:p>
        </w:tc>
        <w:tc>
          <w:tcPr>
            <w:tcW w:w="0" w:type="auto"/>
            <w:vMerge w:val="continue"/>
            <w:tcBorders>
              <w:left w:val="single" w:color="000000" w:sz="4" w:space="0"/>
              <w:bottom w:val="single" w:color="000000" w:sz="4" w:space="0"/>
              <w:right w:val="single" w:color="000000" w:sz="4" w:space="0"/>
            </w:tcBorders>
            <w:noWrap w:val="0"/>
            <w:vAlign w:val="top"/>
          </w:tcPr>
          <w:p>
            <w:pPr>
              <w:keepNext w:val="0"/>
              <w:keepLines w:val="0"/>
              <w:pageBreakBefore w:val="0"/>
              <w:widowControl/>
              <w:wordWrap/>
              <w:overflowPunct/>
              <w:topLinePunct w:val="0"/>
              <w:bidi w:val="0"/>
              <w:spacing w:line="560" w:lineRule="exact"/>
              <w:ind w:left="295"/>
              <w:jc w:val="left"/>
              <w:rPr>
                <w:highlight w:val="none"/>
              </w:rPr>
            </w:pPr>
          </w:p>
        </w:tc>
        <w:tc>
          <w:tcPr>
            <w:tcW w:w="1255" w:type="dxa"/>
            <w:tcBorders>
              <w:top w:val="single" w:color="000000" w:sz="4" w:space="0"/>
              <w:left w:val="single" w:color="000000" w:sz="4" w:space="0"/>
              <w:bottom w:val="single" w:color="000000" w:sz="4" w:space="0"/>
              <w:right w:val="single" w:color="auto"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left="0"/>
              <w:jc w:val="center"/>
              <w:textAlignment w:val="auto"/>
              <w:rPr>
                <w:highlight w:val="none"/>
              </w:rPr>
            </w:pPr>
            <w:r>
              <w:rPr>
                <w:rFonts w:hint="eastAsia" w:ascii="仿宋_GB2312" w:hAnsi="仿宋_GB2312" w:eastAsia="仿宋_GB2312" w:cs="仿宋_GB2312"/>
                <w:color w:val="000000"/>
                <w:sz w:val="24"/>
                <w:szCs w:val="24"/>
                <w:highlight w:val="none"/>
                <w:lang w:val="en-US" w:eastAsia="zh-CN"/>
              </w:rPr>
              <w:t>成员后1/3</w:t>
            </w:r>
          </w:p>
        </w:tc>
        <w:tc>
          <w:tcPr>
            <w:tcW w:w="1434"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left="0"/>
              <w:jc w:val="center"/>
              <w:textAlignment w:val="auto"/>
              <w:rPr>
                <w:rFonts w:hint="default"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val="en-US" w:eastAsia="zh-CN"/>
              </w:rPr>
              <w:t>27</w:t>
            </w:r>
          </w:p>
        </w:tc>
        <w:tc>
          <w:tcPr>
            <w:tcW w:w="1354"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left="0"/>
              <w:jc w:val="center"/>
              <w:textAlignment w:val="auto"/>
              <w:rPr>
                <w:rFonts w:hint="eastAsia" w:ascii="仿宋_GB2312" w:hAnsi="仿宋_GB2312" w:eastAsia="仿宋_GB2312" w:cs="仿宋_GB2312"/>
                <w:color w:val="000000"/>
                <w:sz w:val="24"/>
                <w:szCs w:val="24"/>
                <w:highlight w:val="none"/>
                <w:lang w:val="en-US" w:eastAsia="zh-CN"/>
              </w:rPr>
            </w:pPr>
          </w:p>
        </w:tc>
        <w:tc>
          <w:tcPr>
            <w:tcW w:w="1329"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left="0"/>
              <w:jc w:val="center"/>
              <w:textAlignment w:val="auto"/>
              <w:rPr>
                <w:rFonts w:hint="eastAsia" w:ascii="仿宋_GB2312" w:hAnsi="仿宋_GB2312" w:eastAsia="仿宋_GB2312" w:cs="仿宋_GB2312"/>
                <w:color w:val="000000"/>
                <w:sz w:val="24"/>
                <w:szCs w:val="24"/>
                <w:highlight w:val="none"/>
                <w:lang w:val="en-US" w:eastAsia="zh-CN"/>
              </w:rPr>
            </w:pPr>
          </w:p>
        </w:tc>
      </w:tr>
      <w:tr>
        <w:tblPrEx>
          <w:tblCellMar>
            <w:top w:w="53" w:type="dxa"/>
            <w:left w:w="107" w:type="dxa"/>
            <w:bottom w:w="0" w:type="dxa"/>
            <w:right w:w="78" w:type="dxa"/>
          </w:tblCellMar>
        </w:tblPrEx>
        <w:trPr>
          <w:trHeight w:val="445" w:hRule="atLeast"/>
        </w:trPr>
        <w:tc>
          <w:tcPr>
            <w:tcW w:w="1244" w:type="dxa"/>
            <w:vMerge w:val="continue"/>
            <w:tcBorders>
              <w:top w:val="nil"/>
              <w:left w:val="single" w:color="000000" w:sz="4" w:space="0"/>
              <w:bottom w:val="nil"/>
              <w:right w:val="single" w:color="000000" w:sz="4" w:space="0"/>
            </w:tcBorders>
            <w:noWrap w:val="0"/>
            <w:vAlign w:val="top"/>
          </w:tcPr>
          <w:p>
            <w:pPr>
              <w:keepNext w:val="0"/>
              <w:keepLines w:val="0"/>
              <w:pageBreakBefore w:val="0"/>
              <w:widowControl/>
              <w:wordWrap/>
              <w:overflowPunct/>
              <w:topLinePunct w:val="0"/>
              <w:bidi w:val="0"/>
              <w:spacing w:line="560" w:lineRule="exact"/>
              <w:jc w:val="left"/>
              <w:rPr>
                <w:rFonts w:ascii="仿宋_GB2312" w:hAnsi="仿宋_GB2312" w:eastAsia="仿宋_GB2312" w:cs="仿宋_GB2312"/>
                <w:color w:val="000000"/>
                <w:sz w:val="24"/>
                <w:szCs w:val="24"/>
                <w:highlight w:val="none"/>
              </w:rPr>
            </w:pPr>
          </w:p>
        </w:tc>
        <w:tc>
          <w:tcPr>
            <w:tcW w:w="251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560" w:lineRule="exact"/>
              <w:ind w:left="0"/>
              <w:jc w:val="center"/>
              <w:textAlignment w:val="auto"/>
              <w:rPr>
                <w:rFonts w:hint="eastAsia"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val="en-US" w:eastAsia="zh-CN"/>
              </w:rPr>
              <w:t>一等奖</w:t>
            </w:r>
          </w:p>
        </w:tc>
        <w:tc>
          <w:tcPr>
            <w:tcW w:w="1255"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left="0"/>
              <w:jc w:val="center"/>
              <w:textAlignment w:val="auto"/>
              <w:rPr>
                <w:rFonts w:hint="eastAsia"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b/>
                <w:bCs/>
                <w:color w:val="000000"/>
                <w:sz w:val="24"/>
                <w:szCs w:val="24"/>
                <w:highlight w:val="none"/>
                <w:lang w:val="en-US" w:eastAsia="zh-CN"/>
              </w:rPr>
              <w:t>负责人</w:t>
            </w:r>
          </w:p>
        </w:tc>
        <w:tc>
          <w:tcPr>
            <w:tcW w:w="1434" w:type="dxa"/>
            <w:tcBorders>
              <w:top w:val="single" w:color="auto" w:sz="4" w:space="0"/>
              <w:left w:val="single" w:color="000000" w:sz="4" w:space="0"/>
              <w:bottom w:val="single" w:color="auto" w:sz="4" w:space="0"/>
              <w:right w:val="single" w:color="000000"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left="0"/>
              <w:jc w:val="center"/>
              <w:textAlignment w:val="auto"/>
              <w:rPr>
                <w:rFonts w:hint="default" w:ascii="仿宋_GB2312" w:hAnsi="仿宋_GB2312" w:eastAsia="仿宋_GB2312" w:cs="仿宋_GB2312"/>
                <w:b/>
                <w:bCs/>
                <w:color w:val="000000"/>
                <w:sz w:val="24"/>
                <w:szCs w:val="24"/>
                <w:highlight w:val="none"/>
                <w:lang w:val="en-US" w:eastAsia="zh-CN"/>
              </w:rPr>
            </w:pPr>
            <w:r>
              <w:rPr>
                <w:rFonts w:hint="eastAsia" w:ascii="仿宋_GB2312" w:hAnsi="仿宋_GB2312" w:eastAsia="仿宋_GB2312" w:cs="仿宋_GB2312"/>
                <w:b/>
                <w:bCs/>
                <w:color w:val="000000"/>
                <w:sz w:val="24"/>
                <w:szCs w:val="24"/>
                <w:highlight w:val="none"/>
                <w:lang w:val="en-US" w:eastAsia="zh-CN"/>
              </w:rPr>
              <w:t>30</w:t>
            </w:r>
          </w:p>
        </w:tc>
        <w:tc>
          <w:tcPr>
            <w:tcW w:w="1354" w:type="dxa"/>
            <w:tcBorders>
              <w:top w:val="single" w:color="auto" w:sz="4" w:space="0"/>
              <w:left w:val="single" w:color="000000" w:sz="4" w:space="0"/>
              <w:bottom w:val="single" w:color="auto" w:sz="4" w:space="0"/>
              <w:right w:val="single" w:color="000000"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left="0"/>
              <w:jc w:val="center"/>
              <w:textAlignment w:val="auto"/>
              <w:rPr>
                <w:rFonts w:hint="default" w:ascii="仿宋_GB2312" w:hAnsi="仿宋_GB2312" w:eastAsia="仿宋_GB2312" w:cs="仿宋_GB2312"/>
                <w:b/>
                <w:bCs/>
                <w:color w:val="000000"/>
                <w:sz w:val="24"/>
                <w:szCs w:val="24"/>
                <w:highlight w:val="none"/>
                <w:lang w:val="en-US" w:eastAsia="zh-CN"/>
              </w:rPr>
            </w:pPr>
            <w:r>
              <w:rPr>
                <w:rFonts w:hint="eastAsia" w:ascii="仿宋_GB2312" w:hAnsi="仿宋_GB2312" w:eastAsia="仿宋_GB2312" w:cs="仿宋_GB2312"/>
                <w:b/>
                <w:bCs/>
                <w:color w:val="000000"/>
                <w:sz w:val="24"/>
                <w:szCs w:val="24"/>
                <w:highlight w:val="none"/>
                <w:lang w:val="en-US" w:eastAsia="zh-CN"/>
              </w:rPr>
              <w:t>20</w:t>
            </w:r>
          </w:p>
        </w:tc>
        <w:tc>
          <w:tcPr>
            <w:tcW w:w="1329" w:type="dxa"/>
            <w:tcBorders>
              <w:top w:val="single" w:color="auto" w:sz="4" w:space="0"/>
              <w:left w:val="single" w:color="000000" w:sz="4" w:space="0"/>
              <w:bottom w:val="single" w:color="auto" w:sz="4" w:space="0"/>
              <w:right w:val="single" w:color="000000"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left="0"/>
              <w:jc w:val="center"/>
              <w:textAlignment w:val="auto"/>
              <w:rPr>
                <w:rFonts w:hint="default" w:ascii="仿宋_GB2312" w:hAnsi="仿宋_GB2312" w:eastAsia="仿宋_GB2312" w:cs="仿宋_GB2312"/>
                <w:b/>
                <w:bCs/>
                <w:color w:val="000000"/>
                <w:sz w:val="24"/>
                <w:szCs w:val="24"/>
                <w:highlight w:val="none"/>
                <w:lang w:val="en-US" w:eastAsia="zh-CN"/>
              </w:rPr>
            </w:pPr>
            <w:r>
              <w:rPr>
                <w:rFonts w:hint="eastAsia" w:ascii="仿宋_GB2312" w:hAnsi="仿宋_GB2312" w:eastAsia="仿宋_GB2312" w:cs="仿宋_GB2312"/>
                <w:b/>
                <w:bCs/>
                <w:color w:val="000000"/>
                <w:sz w:val="24"/>
                <w:szCs w:val="24"/>
                <w:highlight w:val="none"/>
                <w:lang w:val="en-US" w:eastAsia="zh-CN"/>
              </w:rPr>
              <w:t>12</w:t>
            </w:r>
          </w:p>
        </w:tc>
      </w:tr>
      <w:tr>
        <w:tblPrEx>
          <w:tblCellMar>
            <w:top w:w="53" w:type="dxa"/>
            <w:left w:w="107" w:type="dxa"/>
            <w:bottom w:w="0" w:type="dxa"/>
            <w:right w:w="78" w:type="dxa"/>
          </w:tblCellMar>
        </w:tblPrEx>
        <w:trPr>
          <w:trHeight w:val="207" w:hRule="atLeast"/>
        </w:trPr>
        <w:tc>
          <w:tcPr>
            <w:tcW w:w="1244" w:type="dxa"/>
            <w:vMerge w:val="continue"/>
            <w:tcBorders>
              <w:top w:val="nil"/>
              <w:left w:val="single" w:color="000000" w:sz="4" w:space="0"/>
              <w:bottom w:val="nil"/>
              <w:right w:val="single" w:color="000000" w:sz="4" w:space="0"/>
            </w:tcBorders>
            <w:noWrap w:val="0"/>
            <w:vAlign w:val="top"/>
          </w:tcPr>
          <w:p>
            <w:pPr>
              <w:keepNext w:val="0"/>
              <w:keepLines w:val="0"/>
              <w:pageBreakBefore w:val="0"/>
              <w:widowControl/>
              <w:wordWrap/>
              <w:overflowPunct/>
              <w:topLinePunct w:val="0"/>
              <w:bidi w:val="0"/>
              <w:spacing w:line="560" w:lineRule="exact"/>
              <w:jc w:val="left"/>
              <w:rPr>
                <w:rFonts w:ascii="仿宋_GB2312" w:hAnsi="仿宋_GB2312" w:eastAsia="仿宋_GB2312" w:cs="仿宋_GB2312"/>
                <w:color w:val="000000"/>
                <w:sz w:val="24"/>
                <w:szCs w:val="24"/>
                <w:highlight w:val="none"/>
              </w:rPr>
            </w:pPr>
          </w:p>
        </w:tc>
        <w:tc>
          <w:tcPr>
            <w:tcW w:w="0" w:type="auto"/>
            <w:vMerge w:val="continue"/>
            <w:tcBorders>
              <w:top w:val="nil"/>
              <w:left w:val="single" w:color="000000" w:sz="4" w:space="0"/>
              <w:bottom w:val="single" w:color="000000" w:sz="4" w:space="0"/>
              <w:right w:val="single" w:color="000000"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left="0"/>
              <w:jc w:val="center"/>
              <w:textAlignment w:val="auto"/>
              <w:rPr>
                <w:rFonts w:hint="eastAsia" w:ascii="仿宋_GB2312" w:hAnsi="仿宋_GB2312" w:eastAsia="仿宋_GB2312" w:cs="仿宋_GB2312"/>
                <w:color w:val="000000"/>
                <w:sz w:val="24"/>
                <w:szCs w:val="24"/>
                <w:highlight w:val="none"/>
                <w:lang w:val="en-US" w:eastAsia="zh-CN"/>
              </w:rPr>
            </w:pPr>
          </w:p>
        </w:tc>
        <w:tc>
          <w:tcPr>
            <w:tcW w:w="1255" w:type="dxa"/>
            <w:tcBorders>
              <w:top w:val="single" w:color="000000" w:sz="4" w:space="0"/>
              <w:left w:val="single" w:color="000000" w:sz="4" w:space="0"/>
              <w:bottom w:val="single" w:color="000000" w:sz="4" w:space="0"/>
              <w:right w:val="single" w:color="auto"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left="0" w:leftChars="0"/>
              <w:jc w:val="center"/>
              <w:textAlignment w:val="auto"/>
              <w:rPr>
                <w:rFonts w:hint="eastAsia"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val="en-US" w:eastAsia="zh-CN"/>
              </w:rPr>
              <w:t>成员前1/3</w:t>
            </w:r>
          </w:p>
        </w:tc>
        <w:tc>
          <w:tcPr>
            <w:tcW w:w="1434"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left="0"/>
              <w:jc w:val="center"/>
              <w:textAlignment w:val="auto"/>
              <w:rPr>
                <w:rFonts w:hint="default"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val="en-US" w:eastAsia="zh-CN"/>
              </w:rPr>
              <w:t>25</w:t>
            </w:r>
          </w:p>
        </w:tc>
        <w:tc>
          <w:tcPr>
            <w:tcW w:w="1354"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left="0"/>
              <w:jc w:val="center"/>
              <w:textAlignment w:val="auto"/>
              <w:rPr>
                <w:rFonts w:hint="default"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val="en-US" w:eastAsia="zh-CN"/>
              </w:rPr>
              <w:t>15</w:t>
            </w:r>
          </w:p>
        </w:tc>
        <w:tc>
          <w:tcPr>
            <w:tcW w:w="1329"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left="0"/>
              <w:jc w:val="center"/>
              <w:textAlignment w:val="auto"/>
              <w:rPr>
                <w:rFonts w:hint="default"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val="en-US" w:eastAsia="zh-CN"/>
              </w:rPr>
              <w:t>10</w:t>
            </w:r>
          </w:p>
        </w:tc>
      </w:tr>
      <w:tr>
        <w:tblPrEx>
          <w:tblCellMar>
            <w:top w:w="53" w:type="dxa"/>
            <w:left w:w="107" w:type="dxa"/>
            <w:bottom w:w="0" w:type="dxa"/>
            <w:right w:w="78" w:type="dxa"/>
          </w:tblCellMar>
        </w:tblPrEx>
        <w:trPr>
          <w:trHeight w:val="207" w:hRule="atLeast"/>
        </w:trPr>
        <w:tc>
          <w:tcPr>
            <w:tcW w:w="1244" w:type="dxa"/>
            <w:vMerge w:val="continue"/>
            <w:tcBorders>
              <w:top w:val="nil"/>
              <w:left w:val="single" w:color="000000" w:sz="4" w:space="0"/>
              <w:bottom w:val="nil"/>
              <w:right w:val="single" w:color="000000"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left="0"/>
              <w:jc w:val="center"/>
              <w:textAlignment w:val="auto"/>
              <w:rPr>
                <w:highlight w:val="none"/>
              </w:rPr>
            </w:pPr>
          </w:p>
        </w:tc>
        <w:tc>
          <w:tcPr>
            <w:tcW w:w="0" w:type="auto"/>
            <w:vMerge w:val="continue"/>
            <w:tcBorders>
              <w:top w:val="nil"/>
              <w:left w:val="single" w:color="000000" w:sz="4" w:space="0"/>
              <w:bottom w:val="single" w:color="000000" w:sz="4" w:space="0"/>
              <w:right w:val="single" w:color="000000"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left="0"/>
              <w:jc w:val="center"/>
              <w:textAlignment w:val="auto"/>
              <w:rPr>
                <w:highlight w:val="none"/>
              </w:rPr>
            </w:pPr>
          </w:p>
        </w:tc>
        <w:tc>
          <w:tcPr>
            <w:tcW w:w="1255" w:type="dxa"/>
            <w:tcBorders>
              <w:top w:val="single" w:color="000000" w:sz="4" w:space="0"/>
              <w:left w:val="single" w:color="000000" w:sz="4" w:space="0"/>
              <w:bottom w:val="single" w:color="000000" w:sz="4" w:space="0"/>
              <w:right w:val="single" w:color="auto"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left="0" w:leftChars="0"/>
              <w:jc w:val="center"/>
              <w:textAlignment w:val="auto"/>
              <w:rPr>
                <w:rFonts w:hint="eastAsia"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val="en-US" w:eastAsia="zh-CN"/>
              </w:rPr>
              <w:t>成员中1/3</w:t>
            </w:r>
          </w:p>
        </w:tc>
        <w:tc>
          <w:tcPr>
            <w:tcW w:w="1434"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left="0"/>
              <w:jc w:val="center"/>
              <w:textAlignment w:val="auto"/>
              <w:rPr>
                <w:rFonts w:hint="default"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val="en-US" w:eastAsia="zh-CN"/>
              </w:rPr>
              <w:t>20</w:t>
            </w:r>
          </w:p>
        </w:tc>
        <w:tc>
          <w:tcPr>
            <w:tcW w:w="1354"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left="0"/>
              <w:jc w:val="center"/>
              <w:textAlignment w:val="auto"/>
              <w:rPr>
                <w:rFonts w:hint="default"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val="en-US" w:eastAsia="zh-CN"/>
              </w:rPr>
              <w:t>10</w:t>
            </w:r>
          </w:p>
        </w:tc>
        <w:tc>
          <w:tcPr>
            <w:tcW w:w="1329"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left="0"/>
              <w:jc w:val="center"/>
              <w:textAlignment w:val="auto"/>
              <w:rPr>
                <w:rFonts w:hint="default"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val="en-US" w:eastAsia="zh-CN"/>
              </w:rPr>
              <w:t>8</w:t>
            </w:r>
          </w:p>
        </w:tc>
      </w:tr>
      <w:tr>
        <w:tblPrEx>
          <w:tblCellMar>
            <w:top w:w="53" w:type="dxa"/>
            <w:left w:w="107" w:type="dxa"/>
            <w:bottom w:w="0" w:type="dxa"/>
            <w:right w:w="78" w:type="dxa"/>
          </w:tblCellMar>
        </w:tblPrEx>
        <w:trPr>
          <w:trHeight w:val="207" w:hRule="atLeast"/>
        </w:trPr>
        <w:tc>
          <w:tcPr>
            <w:tcW w:w="1244" w:type="dxa"/>
            <w:vMerge w:val="continue"/>
            <w:tcBorders>
              <w:left w:val="single" w:color="000000" w:sz="4" w:space="0"/>
              <w:bottom w:val="nil"/>
              <w:right w:val="single" w:color="000000"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left="0"/>
              <w:jc w:val="center"/>
              <w:textAlignment w:val="auto"/>
              <w:rPr>
                <w:rFonts w:hint="eastAsia" w:ascii="仿宋_GB2312" w:hAnsi="仿宋_GB2312" w:eastAsia="仿宋_GB2312" w:cs="仿宋_GB2312"/>
                <w:color w:val="000000"/>
                <w:sz w:val="24"/>
                <w:szCs w:val="24"/>
                <w:highlight w:val="none"/>
                <w:lang w:val="en-US" w:eastAsia="zh-CN"/>
              </w:rPr>
            </w:pPr>
          </w:p>
        </w:tc>
        <w:tc>
          <w:tcPr>
            <w:tcW w:w="0" w:type="auto"/>
            <w:vMerge w:val="continue"/>
            <w:tcBorders>
              <w:left w:val="single" w:color="000000" w:sz="4" w:space="0"/>
              <w:bottom w:val="single" w:color="000000" w:sz="4" w:space="0"/>
              <w:right w:val="single" w:color="000000"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left="0"/>
              <w:jc w:val="center"/>
              <w:textAlignment w:val="auto"/>
              <w:rPr>
                <w:rFonts w:hint="eastAsia" w:ascii="仿宋_GB2312" w:hAnsi="仿宋_GB2312" w:eastAsia="仿宋_GB2312" w:cs="仿宋_GB2312"/>
                <w:color w:val="000000"/>
                <w:sz w:val="24"/>
                <w:szCs w:val="24"/>
                <w:highlight w:val="none"/>
                <w:lang w:val="en-US" w:eastAsia="zh-CN"/>
              </w:rPr>
            </w:pPr>
          </w:p>
        </w:tc>
        <w:tc>
          <w:tcPr>
            <w:tcW w:w="1255" w:type="dxa"/>
            <w:tcBorders>
              <w:top w:val="single" w:color="000000" w:sz="4" w:space="0"/>
              <w:left w:val="single" w:color="000000" w:sz="4" w:space="0"/>
              <w:bottom w:val="single" w:color="000000" w:sz="4" w:space="0"/>
              <w:right w:val="single" w:color="auto"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left="0" w:leftChars="0"/>
              <w:jc w:val="center"/>
              <w:textAlignment w:val="auto"/>
              <w:rPr>
                <w:rFonts w:hint="eastAsia"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val="en-US" w:eastAsia="zh-CN"/>
              </w:rPr>
              <w:t>成员后1/3</w:t>
            </w:r>
          </w:p>
        </w:tc>
        <w:tc>
          <w:tcPr>
            <w:tcW w:w="1434"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left="0"/>
              <w:jc w:val="center"/>
              <w:textAlignment w:val="auto"/>
              <w:rPr>
                <w:rFonts w:hint="default"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val="en-US" w:eastAsia="zh-CN"/>
              </w:rPr>
              <w:t>15</w:t>
            </w:r>
          </w:p>
        </w:tc>
        <w:tc>
          <w:tcPr>
            <w:tcW w:w="1354"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left="0"/>
              <w:jc w:val="center"/>
              <w:textAlignment w:val="auto"/>
              <w:rPr>
                <w:rFonts w:hint="default"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val="en-US" w:eastAsia="zh-CN"/>
              </w:rPr>
              <w:t>5</w:t>
            </w:r>
          </w:p>
        </w:tc>
        <w:tc>
          <w:tcPr>
            <w:tcW w:w="1329"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left="0"/>
              <w:jc w:val="center"/>
              <w:textAlignment w:val="auto"/>
              <w:rPr>
                <w:rFonts w:hint="default"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val="en-US" w:eastAsia="zh-CN"/>
              </w:rPr>
              <w:t>6</w:t>
            </w:r>
          </w:p>
        </w:tc>
      </w:tr>
      <w:tr>
        <w:tblPrEx>
          <w:tblCellMar>
            <w:top w:w="53" w:type="dxa"/>
            <w:left w:w="107" w:type="dxa"/>
            <w:bottom w:w="0" w:type="dxa"/>
            <w:right w:w="78" w:type="dxa"/>
          </w:tblCellMar>
        </w:tblPrEx>
        <w:trPr>
          <w:trHeight w:val="445" w:hRule="atLeast"/>
        </w:trPr>
        <w:tc>
          <w:tcPr>
            <w:tcW w:w="1244" w:type="dxa"/>
            <w:vMerge w:val="continue"/>
            <w:tcBorders>
              <w:top w:val="nil"/>
              <w:left w:val="single" w:color="000000" w:sz="4" w:space="0"/>
              <w:bottom w:val="nil"/>
              <w:right w:val="single" w:color="000000" w:sz="4" w:space="0"/>
            </w:tcBorders>
            <w:noWrap w:val="0"/>
            <w:vAlign w:val="top"/>
          </w:tcPr>
          <w:p>
            <w:pPr>
              <w:keepNext w:val="0"/>
              <w:keepLines w:val="0"/>
              <w:pageBreakBefore w:val="0"/>
              <w:widowControl/>
              <w:wordWrap/>
              <w:overflowPunct/>
              <w:topLinePunct w:val="0"/>
              <w:bidi w:val="0"/>
              <w:spacing w:line="560" w:lineRule="exact"/>
              <w:jc w:val="left"/>
              <w:rPr>
                <w:rFonts w:ascii="仿宋_GB2312" w:hAnsi="仿宋_GB2312" w:eastAsia="仿宋_GB2312" w:cs="仿宋_GB2312"/>
                <w:color w:val="000000"/>
                <w:sz w:val="24"/>
                <w:szCs w:val="24"/>
                <w:highlight w:val="none"/>
              </w:rPr>
            </w:pPr>
          </w:p>
        </w:tc>
        <w:tc>
          <w:tcPr>
            <w:tcW w:w="251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560" w:lineRule="exact"/>
              <w:ind w:left="0"/>
              <w:jc w:val="center"/>
              <w:textAlignment w:val="auto"/>
              <w:rPr>
                <w:rFonts w:hint="eastAsia"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val="en-US" w:eastAsia="zh-CN"/>
              </w:rPr>
              <w:t>二等奖</w:t>
            </w:r>
          </w:p>
        </w:tc>
        <w:tc>
          <w:tcPr>
            <w:tcW w:w="1255"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left="0" w:leftChars="0"/>
              <w:jc w:val="center"/>
              <w:textAlignment w:val="auto"/>
              <w:rPr>
                <w:rFonts w:hint="eastAsia" w:ascii="仿宋_GB2312" w:hAnsi="仿宋_GB2312" w:eastAsia="仿宋_GB2312" w:cs="仿宋_GB2312"/>
                <w:b/>
                <w:bCs/>
                <w:color w:val="000000"/>
                <w:sz w:val="24"/>
                <w:szCs w:val="24"/>
                <w:highlight w:val="none"/>
                <w:lang w:val="en-US" w:eastAsia="zh-CN"/>
              </w:rPr>
            </w:pPr>
            <w:r>
              <w:rPr>
                <w:rFonts w:hint="eastAsia" w:ascii="仿宋_GB2312" w:hAnsi="仿宋_GB2312" w:eastAsia="仿宋_GB2312" w:cs="仿宋_GB2312"/>
                <w:b/>
                <w:bCs/>
                <w:color w:val="000000"/>
                <w:sz w:val="24"/>
                <w:szCs w:val="24"/>
                <w:highlight w:val="none"/>
                <w:lang w:val="en-US" w:eastAsia="zh-CN"/>
              </w:rPr>
              <w:t>负责人</w:t>
            </w:r>
          </w:p>
        </w:tc>
        <w:tc>
          <w:tcPr>
            <w:tcW w:w="1434" w:type="dxa"/>
            <w:tcBorders>
              <w:top w:val="single" w:color="auto" w:sz="4" w:space="0"/>
              <w:left w:val="single" w:color="000000" w:sz="4" w:space="0"/>
              <w:bottom w:val="single" w:color="000000" w:sz="4" w:space="0"/>
              <w:right w:val="single" w:color="000000"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left="0" w:leftChars="0"/>
              <w:jc w:val="center"/>
              <w:textAlignment w:val="auto"/>
              <w:rPr>
                <w:rFonts w:hint="default" w:ascii="仿宋_GB2312" w:hAnsi="仿宋_GB2312" w:eastAsia="仿宋_GB2312" w:cs="仿宋_GB2312"/>
                <w:b/>
                <w:bCs/>
                <w:color w:val="000000"/>
                <w:sz w:val="24"/>
                <w:szCs w:val="24"/>
                <w:highlight w:val="none"/>
                <w:lang w:val="en-US" w:eastAsia="zh-CN"/>
              </w:rPr>
            </w:pPr>
            <w:r>
              <w:rPr>
                <w:rFonts w:hint="eastAsia" w:ascii="仿宋_GB2312" w:hAnsi="仿宋_GB2312" w:eastAsia="仿宋_GB2312" w:cs="仿宋_GB2312"/>
                <w:b/>
                <w:bCs/>
                <w:color w:val="000000"/>
                <w:sz w:val="24"/>
                <w:szCs w:val="24"/>
                <w:highlight w:val="none"/>
                <w:lang w:val="en-US" w:eastAsia="zh-CN"/>
              </w:rPr>
              <w:t>24</w:t>
            </w:r>
          </w:p>
        </w:tc>
        <w:tc>
          <w:tcPr>
            <w:tcW w:w="1354" w:type="dxa"/>
            <w:tcBorders>
              <w:top w:val="single" w:color="auto" w:sz="4" w:space="0"/>
              <w:left w:val="single" w:color="000000" w:sz="4" w:space="0"/>
              <w:bottom w:val="single" w:color="000000" w:sz="4" w:space="0"/>
              <w:right w:val="single" w:color="000000"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left="0" w:leftChars="0"/>
              <w:jc w:val="center"/>
              <w:textAlignment w:val="auto"/>
              <w:rPr>
                <w:rFonts w:hint="eastAsia" w:ascii="仿宋_GB2312" w:hAnsi="仿宋_GB2312" w:eastAsia="仿宋_GB2312" w:cs="仿宋_GB2312"/>
                <w:b/>
                <w:bCs/>
                <w:color w:val="000000"/>
                <w:sz w:val="24"/>
                <w:szCs w:val="24"/>
                <w:highlight w:val="none"/>
                <w:lang w:val="en-US" w:eastAsia="zh-CN"/>
              </w:rPr>
            </w:pPr>
            <w:r>
              <w:rPr>
                <w:rFonts w:hint="eastAsia" w:ascii="仿宋_GB2312" w:hAnsi="仿宋_GB2312" w:eastAsia="仿宋_GB2312" w:cs="仿宋_GB2312"/>
                <w:b/>
                <w:bCs/>
                <w:color w:val="000000"/>
                <w:sz w:val="24"/>
                <w:szCs w:val="24"/>
                <w:highlight w:val="none"/>
                <w:lang w:val="en-US" w:eastAsia="zh-CN"/>
              </w:rPr>
              <w:t>18</w:t>
            </w:r>
          </w:p>
        </w:tc>
        <w:tc>
          <w:tcPr>
            <w:tcW w:w="1329" w:type="dxa"/>
            <w:tcBorders>
              <w:top w:val="single" w:color="auto" w:sz="4" w:space="0"/>
              <w:left w:val="single" w:color="000000" w:sz="4" w:space="0"/>
              <w:bottom w:val="single" w:color="000000" w:sz="4" w:space="0"/>
              <w:right w:val="single" w:color="000000"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left="0" w:leftChars="0"/>
              <w:jc w:val="center"/>
              <w:textAlignment w:val="auto"/>
              <w:rPr>
                <w:rFonts w:hint="default" w:ascii="仿宋_GB2312" w:hAnsi="仿宋_GB2312" w:eastAsia="仿宋_GB2312" w:cs="仿宋_GB2312"/>
                <w:b/>
                <w:bCs/>
                <w:color w:val="000000"/>
                <w:sz w:val="24"/>
                <w:szCs w:val="24"/>
                <w:highlight w:val="none"/>
                <w:lang w:val="en-US" w:eastAsia="zh-CN"/>
              </w:rPr>
            </w:pPr>
            <w:r>
              <w:rPr>
                <w:rFonts w:hint="eastAsia" w:ascii="仿宋_GB2312" w:hAnsi="仿宋_GB2312" w:eastAsia="仿宋_GB2312" w:cs="仿宋_GB2312"/>
                <w:b/>
                <w:bCs/>
                <w:color w:val="000000"/>
                <w:sz w:val="24"/>
                <w:szCs w:val="24"/>
                <w:highlight w:val="none"/>
                <w:lang w:val="en-US" w:eastAsia="zh-CN"/>
              </w:rPr>
              <w:t>10</w:t>
            </w:r>
          </w:p>
        </w:tc>
      </w:tr>
      <w:tr>
        <w:tblPrEx>
          <w:tblCellMar>
            <w:top w:w="53" w:type="dxa"/>
            <w:left w:w="107" w:type="dxa"/>
            <w:bottom w:w="0" w:type="dxa"/>
            <w:right w:w="78" w:type="dxa"/>
          </w:tblCellMar>
        </w:tblPrEx>
        <w:trPr>
          <w:trHeight w:val="207" w:hRule="atLeast"/>
        </w:trPr>
        <w:tc>
          <w:tcPr>
            <w:tcW w:w="1244" w:type="dxa"/>
            <w:vMerge w:val="continue"/>
            <w:tcBorders>
              <w:top w:val="nil"/>
              <w:left w:val="single" w:color="000000" w:sz="4" w:space="0"/>
              <w:bottom w:val="nil"/>
              <w:right w:val="single" w:color="000000" w:sz="4" w:space="0"/>
            </w:tcBorders>
            <w:noWrap w:val="0"/>
            <w:vAlign w:val="top"/>
          </w:tcPr>
          <w:p>
            <w:pPr>
              <w:keepNext w:val="0"/>
              <w:keepLines w:val="0"/>
              <w:pageBreakBefore w:val="0"/>
              <w:widowControl/>
              <w:wordWrap/>
              <w:overflowPunct/>
              <w:topLinePunct w:val="0"/>
              <w:bidi w:val="0"/>
              <w:spacing w:line="560" w:lineRule="exact"/>
              <w:jc w:val="left"/>
              <w:rPr>
                <w:rFonts w:ascii="仿宋_GB2312" w:hAnsi="仿宋_GB2312" w:eastAsia="仿宋_GB2312" w:cs="仿宋_GB2312"/>
                <w:color w:val="000000"/>
                <w:sz w:val="24"/>
                <w:szCs w:val="24"/>
                <w:highlight w:val="none"/>
              </w:rPr>
            </w:pPr>
          </w:p>
        </w:tc>
        <w:tc>
          <w:tcPr>
            <w:tcW w:w="0" w:type="auto"/>
            <w:vMerge w:val="continue"/>
            <w:tcBorders>
              <w:top w:val="nil"/>
              <w:left w:val="single" w:color="000000" w:sz="4" w:space="0"/>
              <w:bottom w:val="single" w:color="000000" w:sz="4" w:space="0"/>
              <w:right w:val="single" w:color="000000" w:sz="4" w:space="0"/>
            </w:tcBorders>
            <w:noWrap w:val="0"/>
            <w:vAlign w:val="top"/>
          </w:tcPr>
          <w:p>
            <w:pPr>
              <w:keepNext w:val="0"/>
              <w:keepLines w:val="0"/>
              <w:pageBreakBefore w:val="0"/>
              <w:widowControl/>
              <w:wordWrap/>
              <w:overflowPunct/>
              <w:topLinePunct w:val="0"/>
              <w:bidi w:val="0"/>
              <w:spacing w:line="560" w:lineRule="exact"/>
              <w:jc w:val="left"/>
              <w:rPr>
                <w:rFonts w:ascii="仿宋_GB2312" w:hAnsi="仿宋_GB2312" w:eastAsia="仿宋_GB2312" w:cs="仿宋_GB2312"/>
                <w:color w:val="000000"/>
                <w:sz w:val="24"/>
                <w:szCs w:val="24"/>
                <w:highlight w:val="none"/>
              </w:rPr>
            </w:pPr>
          </w:p>
        </w:tc>
        <w:tc>
          <w:tcPr>
            <w:tcW w:w="1255"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left="0" w:leftChars="0"/>
              <w:jc w:val="center"/>
              <w:textAlignment w:val="auto"/>
              <w:rPr>
                <w:rFonts w:hint="eastAsia"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val="en-US" w:eastAsia="zh-CN"/>
              </w:rPr>
              <w:t>成员前1/3</w:t>
            </w:r>
          </w:p>
        </w:tc>
        <w:tc>
          <w:tcPr>
            <w:tcW w:w="1434"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left="0" w:leftChars="0"/>
              <w:jc w:val="center"/>
              <w:textAlignment w:val="auto"/>
              <w:rPr>
                <w:rFonts w:hint="default"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val="en-US" w:eastAsia="zh-CN"/>
              </w:rPr>
              <w:t>20</w:t>
            </w:r>
          </w:p>
        </w:tc>
        <w:tc>
          <w:tcPr>
            <w:tcW w:w="1354"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left="0" w:leftChars="0"/>
              <w:jc w:val="center"/>
              <w:textAlignment w:val="auto"/>
              <w:rPr>
                <w:rFonts w:hint="default"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val="en-US" w:eastAsia="zh-CN"/>
              </w:rPr>
              <w:t>14</w:t>
            </w:r>
          </w:p>
        </w:tc>
        <w:tc>
          <w:tcPr>
            <w:tcW w:w="1329"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left="0" w:leftChars="0"/>
              <w:jc w:val="center"/>
              <w:textAlignment w:val="auto"/>
              <w:rPr>
                <w:rFonts w:hint="eastAsia"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val="en-US" w:eastAsia="zh-CN"/>
              </w:rPr>
              <w:t>8</w:t>
            </w:r>
          </w:p>
        </w:tc>
      </w:tr>
      <w:tr>
        <w:tblPrEx>
          <w:tblCellMar>
            <w:top w:w="53" w:type="dxa"/>
            <w:left w:w="107" w:type="dxa"/>
            <w:bottom w:w="0" w:type="dxa"/>
            <w:right w:w="78" w:type="dxa"/>
          </w:tblCellMar>
        </w:tblPrEx>
        <w:trPr>
          <w:trHeight w:val="207" w:hRule="atLeast"/>
        </w:trPr>
        <w:tc>
          <w:tcPr>
            <w:tcW w:w="1244" w:type="dxa"/>
            <w:vMerge w:val="continue"/>
            <w:tcBorders>
              <w:top w:val="nil"/>
              <w:left w:val="single" w:color="000000" w:sz="4" w:space="0"/>
              <w:bottom w:val="nil"/>
              <w:right w:val="single" w:color="000000"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left="0" w:leftChars="0"/>
              <w:jc w:val="center"/>
              <w:textAlignment w:val="auto"/>
              <w:rPr>
                <w:highlight w:val="none"/>
              </w:rPr>
            </w:pPr>
          </w:p>
        </w:tc>
        <w:tc>
          <w:tcPr>
            <w:tcW w:w="0" w:type="auto"/>
            <w:vMerge w:val="continue"/>
            <w:tcBorders>
              <w:top w:val="nil"/>
              <w:left w:val="single" w:color="000000" w:sz="4" w:space="0"/>
              <w:bottom w:val="single" w:color="000000" w:sz="4" w:space="0"/>
              <w:right w:val="single" w:color="000000"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left="0" w:leftChars="0"/>
              <w:jc w:val="center"/>
              <w:textAlignment w:val="auto"/>
              <w:rPr>
                <w:highlight w:val="none"/>
              </w:rPr>
            </w:pPr>
          </w:p>
        </w:tc>
        <w:tc>
          <w:tcPr>
            <w:tcW w:w="1255"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left="0" w:leftChars="0"/>
              <w:jc w:val="center"/>
              <w:textAlignment w:val="auto"/>
              <w:rPr>
                <w:rFonts w:hint="eastAsia"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val="en-US" w:eastAsia="zh-CN"/>
              </w:rPr>
              <w:t>成员中1/3</w:t>
            </w:r>
          </w:p>
        </w:tc>
        <w:tc>
          <w:tcPr>
            <w:tcW w:w="1434"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left="0" w:leftChars="0"/>
              <w:jc w:val="center"/>
              <w:textAlignment w:val="auto"/>
              <w:rPr>
                <w:rFonts w:hint="default"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val="en-US" w:eastAsia="zh-CN"/>
              </w:rPr>
              <w:t>16</w:t>
            </w:r>
          </w:p>
        </w:tc>
        <w:tc>
          <w:tcPr>
            <w:tcW w:w="1354"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left="0" w:leftChars="0"/>
              <w:jc w:val="center"/>
              <w:textAlignment w:val="auto"/>
              <w:rPr>
                <w:rFonts w:hint="default"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val="en-US" w:eastAsia="zh-CN"/>
              </w:rPr>
              <w:t>10</w:t>
            </w:r>
          </w:p>
        </w:tc>
        <w:tc>
          <w:tcPr>
            <w:tcW w:w="1329"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left="0" w:leftChars="0"/>
              <w:jc w:val="center"/>
              <w:textAlignment w:val="auto"/>
              <w:rPr>
                <w:rFonts w:hint="default"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val="en-US" w:eastAsia="zh-CN"/>
              </w:rPr>
              <w:t>6</w:t>
            </w:r>
          </w:p>
        </w:tc>
      </w:tr>
      <w:tr>
        <w:tblPrEx>
          <w:tblCellMar>
            <w:top w:w="53" w:type="dxa"/>
            <w:left w:w="107" w:type="dxa"/>
            <w:bottom w:w="0" w:type="dxa"/>
            <w:right w:w="78" w:type="dxa"/>
          </w:tblCellMar>
        </w:tblPrEx>
        <w:trPr>
          <w:trHeight w:val="207" w:hRule="atLeast"/>
        </w:trPr>
        <w:tc>
          <w:tcPr>
            <w:tcW w:w="1244" w:type="dxa"/>
            <w:vMerge w:val="continue"/>
            <w:tcBorders>
              <w:left w:val="single" w:color="000000" w:sz="4" w:space="0"/>
              <w:bottom w:val="nil"/>
              <w:right w:val="single" w:color="000000"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left="0" w:leftChars="0"/>
              <w:jc w:val="center"/>
              <w:textAlignment w:val="auto"/>
              <w:rPr>
                <w:rFonts w:hint="eastAsia" w:ascii="仿宋_GB2312" w:hAnsi="仿宋_GB2312" w:eastAsia="仿宋_GB2312" w:cs="仿宋_GB2312"/>
                <w:color w:val="000000"/>
                <w:sz w:val="24"/>
                <w:szCs w:val="24"/>
                <w:highlight w:val="none"/>
                <w:lang w:val="en-US" w:eastAsia="zh-CN"/>
              </w:rPr>
            </w:pPr>
          </w:p>
        </w:tc>
        <w:tc>
          <w:tcPr>
            <w:tcW w:w="0" w:type="auto"/>
            <w:vMerge w:val="continue"/>
            <w:tcBorders>
              <w:left w:val="single" w:color="000000" w:sz="4" w:space="0"/>
              <w:bottom w:val="single" w:color="000000" w:sz="4" w:space="0"/>
              <w:right w:val="single" w:color="000000"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left="0" w:leftChars="0"/>
              <w:jc w:val="center"/>
              <w:textAlignment w:val="auto"/>
              <w:rPr>
                <w:rFonts w:hint="eastAsia" w:ascii="仿宋_GB2312" w:hAnsi="仿宋_GB2312" w:eastAsia="仿宋_GB2312" w:cs="仿宋_GB2312"/>
                <w:color w:val="000000"/>
                <w:sz w:val="24"/>
                <w:szCs w:val="24"/>
                <w:highlight w:val="none"/>
                <w:lang w:val="en-US" w:eastAsia="zh-CN"/>
              </w:rPr>
            </w:pPr>
          </w:p>
        </w:tc>
        <w:tc>
          <w:tcPr>
            <w:tcW w:w="1255"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left="0" w:leftChars="0"/>
              <w:jc w:val="center"/>
              <w:textAlignment w:val="auto"/>
              <w:rPr>
                <w:rFonts w:hint="eastAsia"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val="en-US" w:eastAsia="zh-CN"/>
              </w:rPr>
              <w:t>成员后1/3</w:t>
            </w:r>
          </w:p>
        </w:tc>
        <w:tc>
          <w:tcPr>
            <w:tcW w:w="1434"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left="0" w:leftChars="0"/>
              <w:jc w:val="center"/>
              <w:textAlignment w:val="auto"/>
              <w:rPr>
                <w:rFonts w:hint="default"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val="en-US" w:eastAsia="zh-CN"/>
              </w:rPr>
              <w:t>12</w:t>
            </w:r>
          </w:p>
        </w:tc>
        <w:tc>
          <w:tcPr>
            <w:tcW w:w="1354"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left="0" w:leftChars="0"/>
              <w:jc w:val="center"/>
              <w:textAlignment w:val="auto"/>
              <w:rPr>
                <w:rFonts w:hint="default"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val="en-US" w:eastAsia="zh-CN"/>
              </w:rPr>
              <w:t>6</w:t>
            </w:r>
          </w:p>
        </w:tc>
        <w:tc>
          <w:tcPr>
            <w:tcW w:w="1329"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left="0" w:leftChars="0"/>
              <w:jc w:val="center"/>
              <w:textAlignment w:val="auto"/>
              <w:rPr>
                <w:rFonts w:hint="default"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val="en-US" w:eastAsia="zh-CN"/>
              </w:rPr>
              <w:t>4</w:t>
            </w:r>
          </w:p>
        </w:tc>
      </w:tr>
      <w:tr>
        <w:tblPrEx>
          <w:tblCellMar>
            <w:top w:w="53" w:type="dxa"/>
            <w:left w:w="107" w:type="dxa"/>
            <w:bottom w:w="0" w:type="dxa"/>
            <w:right w:w="78" w:type="dxa"/>
          </w:tblCellMar>
        </w:tblPrEx>
        <w:trPr>
          <w:trHeight w:val="445" w:hRule="atLeast"/>
        </w:trPr>
        <w:tc>
          <w:tcPr>
            <w:tcW w:w="1244" w:type="dxa"/>
            <w:vMerge w:val="continue"/>
            <w:tcBorders>
              <w:top w:val="nil"/>
              <w:left w:val="single" w:color="000000" w:sz="4" w:space="0"/>
              <w:bottom w:val="nil"/>
              <w:right w:val="single" w:color="000000" w:sz="4" w:space="0"/>
            </w:tcBorders>
            <w:noWrap w:val="0"/>
            <w:vAlign w:val="top"/>
          </w:tcPr>
          <w:p>
            <w:pPr>
              <w:keepNext w:val="0"/>
              <w:keepLines w:val="0"/>
              <w:pageBreakBefore w:val="0"/>
              <w:widowControl/>
              <w:wordWrap/>
              <w:overflowPunct/>
              <w:topLinePunct w:val="0"/>
              <w:bidi w:val="0"/>
              <w:spacing w:line="560" w:lineRule="exact"/>
              <w:jc w:val="left"/>
              <w:rPr>
                <w:rFonts w:ascii="仿宋_GB2312" w:hAnsi="仿宋_GB2312" w:eastAsia="仿宋_GB2312" w:cs="仿宋_GB2312"/>
                <w:color w:val="000000"/>
                <w:sz w:val="24"/>
                <w:szCs w:val="24"/>
                <w:highlight w:val="none"/>
              </w:rPr>
            </w:pPr>
          </w:p>
        </w:tc>
        <w:tc>
          <w:tcPr>
            <w:tcW w:w="251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wordWrap/>
              <w:overflowPunct/>
              <w:topLinePunct w:val="0"/>
              <w:bidi w:val="0"/>
              <w:spacing w:line="560" w:lineRule="exact"/>
              <w:ind w:left="174"/>
              <w:rPr>
                <w:rFonts w:ascii="仿宋_GB2312" w:hAnsi="仿宋_GB2312" w:eastAsia="仿宋_GB2312" w:cs="仿宋_GB2312"/>
                <w:color w:val="000000"/>
                <w:sz w:val="24"/>
                <w:szCs w:val="24"/>
                <w:highlight w:val="none"/>
              </w:rPr>
            </w:pPr>
            <w:r>
              <w:rPr>
                <w:rFonts w:ascii="仿宋_GB2312" w:hAnsi="仿宋_GB2312" w:eastAsia="仿宋_GB2312" w:cs="仿宋_GB2312"/>
                <w:color w:val="000000"/>
                <w:sz w:val="24"/>
                <w:szCs w:val="24"/>
                <w:highlight w:val="none"/>
              </w:rPr>
              <w:t>三等奖</w:t>
            </w:r>
          </w:p>
        </w:tc>
        <w:tc>
          <w:tcPr>
            <w:tcW w:w="1255"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left="0" w:leftChars="0"/>
              <w:jc w:val="center"/>
              <w:textAlignment w:val="auto"/>
              <w:rPr>
                <w:rFonts w:hint="eastAsia" w:ascii="仿宋_GB2312" w:hAnsi="仿宋_GB2312" w:eastAsia="仿宋_GB2312" w:cs="仿宋_GB2312"/>
                <w:b/>
                <w:bCs/>
                <w:color w:val="000000"/>
                <w:sz w:val="24"/>
                <w:szCs w:val="24"/>
                <w:highlight w:val="none"/>
                <w:lang w:val="en-US" w:eastAsia="zh-CN"/>
              </w:rPr>
            </w:pPr>
            <w:r>
              <w:rPr>
                <w:rFonts w:hint="eastAsia" w:ascii="仿宋_GB2312" w:hAnsi="仿宋_GB2312" w:eastAsia="仿宋_GB2312" w:cs="仿宋_GB2312"/>
                <w:b/>
                <w:bCs/>
                <w:color w:val="000000"/>
                <w:sz w:val="24"/>
                <w:szCs w:val="24"/>
                <w:highlight w:val="none"/>
                <w:lang w:val="en-US" w:eastAsia="zh-CN"/>
              </w:rPr>
              <w:t>负责人</w:t>
            </w:r>
          </w:p>
        </w:tc>
        <w:tc>
          <w:tcPr>
            <w:tcW w:w="1434"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left="0" w:leftChars="0"/>
              <w:jc w:val="center"/>
              <w:textAlignment w:val="auto"/>
              <w:rPr>
                <w:rFonts w:hint="eastAsia" w:ascii="仿宋_GB2312" w:hAnsi="仿宋_GB2312" w:eastAsia="仿宋_GB2312" w:cs="仿宋_GB2312"/>
                <w:b/>
                <w:bCs/>
                <w:color w:val="000000"/>
                <w:sz w:val="24"/>
                <w:szCs w:val="24"/>
                <w:highlight w:val="none"/>
                <w:lang w:val="en-US" w:eastAsia="zh-CN"/>
              </w:rPr>
            </w:pPr>
            <w:r>
              <w:rPr>
                <w:rFonts w:hint="eastAsia" w:ascii="仿宋_GB2312" w:hAnsi="仿宋_GB2312" w:eastAsia="仿宋_GB2312" w:cs="仿宋_GB2312"/>
                <w:b/>
                <w:bCs/>
                <w:color w:val="000000"/>
                <w:sz w:val="24"/>
                <w:szCs w:val="24"/>
                <w:highlight w:val="none"/>
                <w:lang w:val="en-US" w:eastAsia="zh-CN"/>
              </w:rPr>
              <w:t>——</w:t>
            </w:r>
          </w:p>
        </w:tc>
        <w:tc>
          <w:tcPr>
            <w:tcW w:w="1354"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left="0" w:leftChars="0"/>
              <w:jc w:val="center"/>
              <w:textAlignment w:val="auto"/>
              <w:rPr>
                <w:rFonts w:hint="default" w:ascii="仿宋_GB2312" w:hAnsi="仿宋_GB2312" w:eastAsia="仿宋_GB2312" w:cs="仿宋_GB2312"/>
                <w:b/>
                <w:bCs/>
                <w:color w:val="000000"/>
                <w:sz w:val="24"/>
                <w:szCs w:val="24"/>
                <w:highlight w:val="none"/>
                <w:lang w:val="en-US" w:eastAsia="zh-CN"/>
              </w:rPr>
            </w:pPr>
            <w:r>
              <w:rPr>
                <w:rFonts w:hint="eastAsia" w:ascii="仿宋_GB2312" w:hAnsi="仿宋_GB2312" w:eastAsia="仿宋_GB2312" w:cs="仿宋_GB2312"/>
                <w:b/>
                <w:bCs/>
                <w:color w:val="000000"/>
                <w:sz w:val="24"/>
                <w:szCs w:val="24"/>
                <w:highlight w:val="none"/>
                <w:lang w:val="en-US" w:eastAsia="zh-CN"/>
              </w:rPr>
              <w:t>10</w:t>
            </w:r>
          </w:p>
        </w:tc>
        <w:tc>
          <w:tcPr>
            <w:tcW w:w="1329"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left="0" w:leftChars="0"/>
              <w:jc w:val="center"/>
              <w:textAlignment w:val="auto"/>
              <w:rPr>
                <w:rFonts w:hint="eastAsia" w:ascii="仿宋_GB2312" w:hAnsi="仿宋_GB2312" w:eastAsia="仿宋_GB2312" w:cs="仿宋_GB2312"/>
                <w:b/>
                <w:bCs/>
                <w:color w:val="000000"/>
                <w:sz w:val="24"/>
                <w:szCs w:val="24"/>
                <w:highlight w:val="none"/>
                <w:lang w:val="en-US" w:eastAsia="zh-CN"/>
              </w:rPr>
            </w:pPr>
            <w:r>
              <w:rPr>
                <w:rFonts w:hint="eastAsia" w:ascii="仿宋_GB2312" w:hAnsi="仿宋_GB2312" w:eastAsia="仿宋_GB2312" w:cs="仿宋_GB2312"/>
                <w:b/>
                <w:bCs/>
                <w:color w:val="000000"/>
                <w:sz w:val="24"/>
                <w:szCs w:val="24"/>
                <w:highlight w:val="none"/>
                <w:lang w:val="en-US" w:eastAsia="zh-CN"/>
              </w:rPr>
              <w:t>8</w:t>
            </w:r>
          </w:p>
        </w:tc>
      </w:tr>
      <w:tr>
        <w:tblPrEx>
          <w:tblCellMar>
            <w:top w:w="53" w:type="dxa"/>
            <w:left w:w="107" w:type="dxa"/>
            <w:bottom w:w="0" w:type="dxa"/>
            <w:right w:w="78" w:type="dxa"/>
          </w:tblCellMar>
        </w:tblPrEx>
        <w:trPr>
          <w:trHeight w:val="204" w:hRule="atLeast"/>
        </w:trPr>
        <w:tc>
          <w:tcPr>
            <w:tcW w:w="1244" w:type="dxa"/>
            <w:vMerge w:val="continue"/>
            <w:tcBorders>
              <w:top w:val="nil"/>
              <w:left w:val="single" w:color="000000" w:sz="4" w:space="0"/>
              <w:bottom w:val="single" w:color="000000" w:sz="4" w:space="0"/>
              <w:right w:val="single" w:color="000000" w:sz="4" w:space="0"/>
            </w:tcBorders>
            <w:noWrap w:val="0"/>
            <w:vAlign w:val="top"/>
          </w:tcPr>
          <w:p>
            <w:pPr>
              <w:keepNext w:val="0"/>
              <w:keepLines w:val="0"/>
              <w:pageBreakBefore w:val="0"/>
              <w:widowControl/>
              <w:wordWrap/>
              <w:overflowPunct/>
              <w:topLinePunct w:val="0"/>
              <w:bidi w:val="0"/>
              <w:spacing w:line="560" w:lineRule="exact"/>
              <w:jc w:val="left"/>
              <w:rPr>
                <w:rFonts w:ascii="仿宋_GB2312" w:hAnsi="仿宋_GB2312" w:eastAsia="仿宋_GB2312" w:cs="仿宋_GB2312"/>
                <w:color w:val="000000"/>
                <w:sz w:val="24"/>
                <w:szCs w:val="24"/>
                <w:highlight w:val="none"/>
              </w:rPr>
            </w:pPr>
          </w:p>
        </w:tc>
        <w:tc>
          <w:tcPr>
            <w:tcW w:w="0" w:type="auto"/>
            <w:vMerge w:val="continue"/>
            <w:tcBorders>
              <w:top w:val="nil"/>
              <w:left w:val="single" w:color="000000" w:sz="4" w:space="0"/>
              <w:bottom w:val="single" w:color="000000" w:sz="4" w:space="0"/>
              <w:right w:val="single" w:color="000000" w:sz="4" w:space="0"/>
            </w:tcBorders>
            <w:noWrap w:val="0"/>
            <w:vAlign w:val="top"/>
          </w:tcPr>
          <w:p>
            <w:pPr>
              <w:keepNext w:val="0"/>
              <w:keepLines w:val="0"/>
              <w:pageBreakBefore w:val="0"/>
              <w:widowControl/>
              <w:wordWrap/>
              <w:overflowPunct/>
              <w:topLinePunct w:val="0"/>
              <w:bidi w:val="0"/>
              <w:spacing w:line="560" w:lineRule="exact"/>
              <w:jc w:val="left"/>
              <w:rPr>
                <w:rFonts w:ascii="仿宋_GB2312" w:hAnsi="仿宋_GB2312" w:eastAsia="仿宋_GB2312" w:cs="仿宋_GB2312"/>
                <w:color w:val="000000"/>
                <w:sz w:val="24"/>
                <w:szCs w:val="24"/>
                <w:highlight w:val="none"/>
              </w:rPr>
            </w:pPr>
          </w:p>
        </w:tc>
        <w:tc>
          <w:tcPr>
            <w:tcW w:w="1255"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left="0" w:leftChars="0"/>
              <w:jc w:val="center"/>
              <w:textAlignment w:val="auto"/>
              <w:rPr>
                <w:rFonts w:hint="eastAsia"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val="en-US" w:eastAsia="zh-CN"/>
              </w:rPr>
              <w:t>成员前1/3</w:t>
            </w:r>
          </w:p>
        </w:tc>
        <w:tc>
          <w:tcPr>
            <w:tcW w:w="1434"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left="0" w:leftChars="0"/>
              <w:jc w:val="center"/>
              <w:textAlignment w:val="auto"/>
              <w:rPr>
                <w:rFonts w:hint="eastAsia"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val="en-US" w:eastAsia="zh-CN"/>
              </w:rPr>
              <w:t>——</w:t>
            </w:r>
          </w:p>
        </w:tc>
        <w:tc>
          <w:tcPr>
            <w:tcW w:w="1354"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left="0" w:leftChars="0"/>
              <w:jc w:val="center"/>
              <w:textAlignment w:val="auto"/>
              <w:rPr>
                <w:rFonts w:hint="eastAsia"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val="en-US" w:eastAsia="zh-CN"/>
              </w:rPr>
              <w:t>8</w:t>
            </w:r>
          </w:p>
        </w:tc>
        <w:tc>
          <w:tcPr>
            <w:tcW w:w="1329"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left="0" w:leftChars="0"/>
              <w:jc w:val="center"/>
              <w:textAlignment w:val="auto"/>
              <w:rPr>
                <w:rFonts w:hint="eastAsia"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val="en-US" w:eastAsia="zh-CN"/>
              </w:rPr>
              <w:t>6</w:t>
            </w:r>
          </w:p>
        </w:tc>
      </w:tr>
      <w:tr>
        <w:tblPrEx>
          <w:tblCellMar>
            <w:top w:w="53" w:type="dxa"/>
            <w:left w:w="107" w:type="dxa"/>
            <w:bottom w:w="0" w:type="dxa"/>
            <w:right w:w="78" w:type="dxa"/>
          </w:tblCellMar>
        </w:tblPrEx>
        <w:trPr>
          <w:trHeight w:val="204" w:hRule="atLeast"/>
        </w:trPr>
        <w:tc>
          <w:tcPr>
            <w:tcW w:w="1244" w:type="dxa"/>
            <w:vMerge w:val="continue"/>
            <w:tcBorders>
              <w:top w:val="nil"/>
              <w:left w:val="single" w:color="000000" w:sz="4" w:space="0"/>
              <w:bottom w:val="single" w:color="000000" w:sz="4" w:space="0"/>
              <w:right w:val="single" w:color="000000"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left="0" w:leftChars="0"/>
              <w:jc w:val="center"/>
              <w:textAlignment w:val="auto"/>
              <w:rPr>
                <w:highlight w:val="none"/>
              </w:rPr>
            </w:pPr>
          </w:p>
        </w:tc>
        <w:tc>
          <w:tcPr>
            <w:tcW w:w="0" w:type="auto"/>
            <w:vMerge w:val="continue"/>
            <w:tcBorders>
              <w:top w:val="nil"/>
              <w:left w:val="single" w:color="000000" w:sz="4" w:space="0"/>
              <w:bottom w:val="single" w:color="000000" w:sz="4" w:space="0"/>
              <w:right w:val="single" w:color="000000"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left="0" w:leftChars="0"/>
              <w:jc w:val="center"/>
              <w:textAlignment w:val="auto"/>
              <w:rPr>
                <w:highlight w:val="none"/>
              </w:rPr>
            </w:pPr>
          </w:p>
        </w:tc>
        <w:tc>
          <w:tcPr>
            <w:tcW w:w="1255"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left="0" w:leftChars="0"/>
              <w:jc w:val="center"/>
              <w:textAlignment w:val="auto"/>
              <w:rPr>
                <w:rFonts w:hint="eastAsia"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val="en-US" w:eastAsia="zh-CN"/>
              </w:rPr>
              <w:t>成员中1/3</w:t>
            </w:r>
          </w:p>
        </w:tc>
        <w:tc>
          <w:tcPr>
            <w:tcW w:w="1434"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left="0" w:leftChars="0"/>
              <w:jc w:val="center"/>
              <w:textAlignment w:val="auto"/>
              <w:rPr>
                <w:rFonts w:hint="eastAsia"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val="en-US" w:eastAsia="zh-CN"/>
              </w:rPr>
              <w:t>——</w:t>
            </w:r>
          </w:p>
        </w:tc>
        <w:tc>
          <w:tcPr>
            <w:tcW w:w="1354"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left="0" w:leftChars="0"/>
              <w:jc w:val="center"/>
              <w:textAlignment w:val="auto"/>
              <w:rPr>
                <w:rFonts w:hint="default"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val="en-US" w:eastAsia="zh-CN"/>
              </w:rPr>
              <w:t>6</w:t>
            </w:r>
          </w:p>
        </w:tc>
        <w:tc>
          <w:tcPr>
            <w:tcW w:w="1329"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left="0" w:leftChars="0"/>
              <w:jc w:val="center"/>
              <w:textAlignment w:val="auto"/>
              <w:rPr>
                <w:rFonts w:hint="default"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val="en-US" w:eastAsia="zh-CN"/>
              </w:rPr>
              <w:t>4</w:t>
            </w:r>
          </w:p>
        </w:tc>
      </w:tr>
      <w:tr>
        <w:tblPrEx>
          <w:tblCellMar>
            <w:top w:w="53" w:type="dxa"/>
            <w:left w:w="107" w:type="dxa"/>
            <w:bottom w:w="0" w:type="dxa"/>
            <w:right w:w="78" w:type="dxa"/>
          </w:tblCellMar>
        </w:tblPrEx>
        <w:trPr>
          <w:trHeight w:val="204" w:hRule="atLeast"/>
        </w:trPr>
        <w:tc>
          <w:tcPr>
            <w:tcW w:w="1244" w:type="dxa"/>
            <w:vMerge w:val="continue"/>
            <w:tcBorders>
              <w:left w:val="single" w:color="000000" w:sz="4" w:space="0"/>
              <w:bottom w:val="single" w:color="000000" w:sz="4" w:space="0"/>
              <w:right w:val="single" w:color="000000"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left="0" w:leftChars="0"/>
              <w:jc w:val="center"/>
              <w:textAlignment w:val="auto"/>
              <w:rPr>
                <w:rFonts w:hint="eastAsia" w:ascii="仿宋_GB2312" w:hAnsi="仿宋_GB2312" w:eastAsia="仿宋_GB2312" w:cs="仿宋_GB2312"/>
                <w:color w:val="000000"/>
                <w:sz w:val="24"/>
                <w:szCs w:val="24"/>
                <w:highlight w:val="none"/>
                <w:lang w:val="en-US" w:eastAsia="zh-CN"/>
              </w:rPr>
            </w:pPr>
          </w:p>
        </w:tc>
        <w:tc>
          <w:tcPr>
            <w:tcW w:w="0" w:type="auto"/>
            <w:vMerge w:val="continue"/>
            <w:tcBorders>
              <w:left w:val="single" w:color="000000" w:sz="4" w:space="0"/>
              <w:bottom w:val="single" w:color="000000" w:sz="4" w:space="0"/>
              <w:right w:val="single" w:color="000000"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left="0" w:leftChars="0"/>
              <w:jc w:val="center"/>
              <w:textAlignment w:val="auto"/>
              <w:rPr>
                <w:rFonts w:hint="eastAsia" w:ascii="仿宋_GB2312" w:hAnsi="仿宋_GB2312" w:eastAsia="仿宋_GB2312" w:cs="仿宋_GB2312"/>
                <w:color w:val="000000"/>
                <w:sz w:val="24"/>
                <w:szCs w:val="24"/>
                <w:highlight w:val="none"/>
                <w:lang w:val="en-US" w:eastAsia="zh-CN"/>
              </w:rPr>
            </w:pPr>
          </w:p>
        </w:tc>
        <w:tc>
          <w:tcPr>
            <w:tcW w:w="1255" w:type="dxa"/>
            <w:tcBorders>
              <w:top w:val="single" w:color="000000" w:sz="4" w:space="0"/>
              <w:left w:val="single" w:color="000000" w:sz="4" w:space="0"/>
              <w:bottom w:val="single" w:color="auto" w:sz="4" w:space="0"/>
              <w:right w:val="single" w:color="000000"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left="0" w:leftChars="0"/>
              <w:jc w:val="center"/>
              <w:textAlignment w:val="auto"/>
              <w:rPr>
                <w:rFonts w:hint="eastAsia"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val="en-US" w:eastAsia="zh-CN"/>
              </w:rPr>
              <w:t>成员后1/3</w:t>
            </w:r>
          </w:p>
        </w:tc>
        <w:tc>
          <w:tcPr>
            <w:tcW w:w="1434"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left="0" w:leftChars="0"/>
              <w:jc w:val="center"/>
              <w:textAlignment w:val="auto"/>
              <w:rPr>
                <w:rFonts w:hint="eastAsia"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val="en-US" w:eastAsia="zh-CN"/>
              </w:rPr>
              <w:t>——</w:t>
            </w:r>
          </w:p>
        </w:tc>
        <w:tc>
          <w:tcPr>
            <w:tcW w:w="1354"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left="0" w:leftChars="0"/>
              <w:jc w:val="center"/>
              <w:textAlignment w:val="auto"/>
              <w:rPr>
                <w:rFonts w:hint="default"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val="en-US" w:eastAsia="zh-CN"/>
              </w:rPr>
              <w:t>4</w:t>
            </w:r>
          </w:p>
        </w:tc>
        <w:tc>
          <w:tcPr>
            <w:tcW w:w="1329"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left="0" w:leftChars="0"/>
              <w:jc w:val="center"/>
              <w:textAlignment w:val="auto"/>
              <w:rPr>
                <w:rFonts w:hint="default"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val="en-US" w:eastAsia="zh-CN"/>
              </w:rPr>
              <w:t>2</w:t>
            </w:r>
          </w:p>
        </w:tc>
      </w:tr>
      <w:tr>
        <w:tblPrEx>
          <w:tblCellMar>
            <w:top w:w="53" w:type="dxa"/>
            <w:left w:w="107" w:type="dxa"/>
            <w:bottom w:w="0" w:type="dxa"/>
            <w:right w:w="78" w:type="dxa"/>
          </w:tblCellMar>
        </w:tblPrEx>
        <w:trPr>
          <w:trHeight w:val="445" w:hRule="atLeast"/>
        </w:trPr>
        <w:tc>
          <w:tcPr>
            <w:tcW w:w="124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wordWrap/>
              <w:overflowPunct/>
              <w:topLinePunct w:val="0"/>
              <w:bidi w:val="0"/>
              <w:spacing w:line="560" w:lineRule="exact"/>
              <w:ind w:left="46"/>
              <w:rPr>
                <w:rFonts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思政课教师参与省部级以上重要工作</w:t>
            </w:r>
          </w:p>
        </w:tc>
        <w:tc>
          <w:tcPr>
            <w:tcW w:w="2514" w:type="dxa"/>
            <w:vMerge w:val="restart"/>
            <w:tcBorders>
              <w:top w:val="single" w:color="000000" w:sz="4" w:space="0"/>
              <w:left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60" w:lineRule="exact"/>
              <w:ind w:left="0"/>
              <w:textAlignment w:val="auto"/>
              <w:rPr>
                <w:rFonts w:hint="default"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1"/>
                <w:szCs w:val="21"/>
                <w:highlight w:val="none"/>
                <w:lang w:val="en-US" w:eastAsia="zh-CN"/>
              </w:rPr>
              <w:t>(立项/结项)</w:t>
            </w:r>
          </w:p>
        </w:tc>
        <w:tc>
          <w:tcPr>
            <w:tcW w:w="125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left="0" w:leftChars="0"/>
              <w:jc w:val="center"/>
              <w:textAlignment w:val="auto"/>
              <w:rPr>
                <w:rFonts w:hint="eastAsia" w:ascii="仿宋_GB2312" w:hAnsi="仿宋_GB2312" w:eastAsia="仿宋_GB2312" w:cs="仿宋_GB2312"/>
                <w:b/>
                <w:bCs/>
                <w:color w:val="000000"/>
                <w:sz w:val="24"/>
                <w:szCs w:val="24"/>
                <w:highlight w:val="none"/>
                <w:lang w:val="en-US" w:eastAsia="zh-CN"/>
              </w:rPr>
            </w:pPr>
            <w:r>
              <w:rPr>
                <w:rFonts w:ascii="仿宋_GB2312" w:hAnsi="仿宋_GB2312" w:eastAsia="仿宋_GB2312" w:cs="仿宋_GB2312"/>
                <w:b/>
                <w:bCs/>
                <w:color w:val="000000"/>
                <w:sz w:val="24"/>
                <w:szCs w:val="24"/>
                <w:highlight w:val="none"/>
              </w:rPr>
              <w:t>负责人</w:t>
            </w:r>
          </w:p>
        </w:tc>
        <w:tc>
          <w:tcPr>
            <w:tcW w:w="1434" w:type="dxa"/>
            <w:tcBorders>
              <w:top w:val="single" w:color="000000" w:sz="4" w:space="0"/>
              <w:left w:val="single" w:color="auto" w:sz="4" w:space="0"/>
              <w:bottom w:val="single" w:color="000000" w:sz="4" w:space="0"/>
              <w:right w:val="single" w:color="000000"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left="0" w:leftChars="0"/>
              <w:jc w:val="center"/>
              <w:textAlignment w:val="auto"/>
              <w:rPr>
                <w:rFonts w:hint="default" w:ascii="仿宋_GB2312" w:hAnsi="仿宋_GB2312" w:eastAsia="仿宋_GB2312" w:cs="仿宋_GB2312"/>
                <w:b/>
                <w:bCs/>
                <w:color w:val="000000"/>
                <w:sz w:val="24"/>
                <w:szCs w:val="24"/>
                <w:highlight w:val="none"/>
                <w:lang w:val="en-US" w:eastAsia="zh-CN"/>
              </w:rPr>
            </w:pPr>
            <w:r>
              <w:rPr>
                <w:rFonts w:hint="eastAsia" w:ascii="仿宋_GB2312" w:hAnsi="仿宋_GB2312" w:eastAsia="仿宋_GB2312" w:cs="仿宋_GB2312"/>
                <w:b/>
                <w:bCs/>
                <w:color w:val="000000"/>
                <w:sz w:val="24"/>
                <w:szCs w:val="24"/>
                <w:highlight w:val="none"/>
                <w:lang w:val="en-US" w:eastAsia="zh-CN"/>
              </w:rPr>
              <w:t>12/12</w:t>
            </w:r>
          </w:p>
        </w:tc>
        <w:tc>
          <w:tcPr>
            <w:tcW w:w="1354"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left="0" w:leftChars="0"/>
              <w:jc w:val="center"/>
              <w:textAlignment w:val="auto"/>
              <w:rPr>
                <w:rFonts w:hint="default" w:ascii="仿宋_GB2312" w:hAnsi="仿宋_GB2312" w:eastAsia="仿宋_GB2312" w:cs="仿宋_GB2312"/>
                <w:b/>
                <w:bCs/>
                <w:color w:val="000000"/>
                <w:sz w:val="24"/>
                <w:szCs w:val="24"/>
                <w:highlight w:val="none"/>
                <w:lang w:val="en-US" w:eastAsia="zh-CN"/>
              </w:rPr>
            </w:pPr>
            <w:r>
              <w:rPr>
                <w:rFonts w:hint="eastAsia" w:ascii="仿宋_GB2312" w:hAnsi="仿宋_GB2312" w:eastAsia="仿宋_GB2312" w:cs="仿宋_GB2312"/>
                <w:b/>
                <w:bCs/>
                <w:color w:val="000000"/>
                <w:sz w:val="24"/>
                <w:szCs w:val="24"/>
                <w:highlight w:val="none"/>
                <w:lang w:val="en-US" w:eastAsia="zh-CN"/>
              </w:rPr>
              <w:t>6/6</w:t>
            </w:r>
          </w:p>
        </w:tc>
        <w:tc>
          <w:tcPr>
            <w:tcW w:w="1329"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left="0" w:leftChars="0"/>
              <w:jc w:val="center"/>
              <w:textAlignment w:val="auto"/>
              <w:rPr>
                <w:rFonts w:hint="eastAsia" w:ascii="仿宋_GB2312" w:hAnsi="仿宋_GB2312" w:eastAsia="仿宋_GB2312" w:cs="仿宋_GB2312"/>
                <w:b/>
                <w:bCs/>
                <w:color w:val="000000"/>
                <w:sz w:val="24"/>
                <w:szCs w:val="24"/>
                <w:highlight w:val="none"/>
                <w:lang w:val="en-US" w:eastAsia="zh-CN"/>
              </w:rPr>
            </w:pPr>
            <w:r>
              <w:rPr>
                <w:rFonts w:hint="eastAsia" w:ascii="仿宋_GB2312" w:hAnsi="仿宋_GB2312" w:eastAsia="仿宋_GB2312" w:cs="仿宋_GB2312"/>
                <w:b/>
                <w:bCs/>
                <w:color w:val="000000"/>
                <w:sz w:val="24"/>
                <w:szCs w:val="24"/>
                <w:highlight w:val="none"/>
                <w:lang w:val="en-US" w:eastAsia="zh-CN"/>
              </w:rPr>
              <w:t>4</w:t>
            </w:r>
          </w:p>
        </w:tc>
      </w:tr>
      <w:tr>
        <w:tblPrEx>
          <w:tblCellMar>
            <w:top w:w="53" w:type="dxa"/>
            <w:left w:w="107" w:type="dxa"/>
            <w:bottom w:w="0" w:type="dxa"/>
            <w:right w:w="78" w:type="dxa"/>
          </w:tblCellMar>
        </w:tblPrEx>
        <w:trPr>
          <w:trHeight w:val="445" w:hRule="atLeast"/>
        </w:trPr>
        <w:tc>
          <w:tcPr>
            <w:tcW w:w="1244" w:type="dxa"/>
            <w:vMerge w:val="continue"/>
            <w:tcBorders>
              <w:top w:val="nil"/>
              <w:left w:val="single" w:color="000000" w:sz="4" w:space="0"/>
              <w:bottom w:val="nil"/>
              <w:right w:val="single" w:color="000000" w:sz="4" w:space="0"/>
            </w:tcBorders>
            <w:noWrap w:val="0"/>
            <w:vAlign w:val="top"/>
          </w:tcPr>
          <w:p>
            <w:pPr>
              <w:keepNext w:val="0"/>
              <w:keepLines w:val="0"/>
              <w:pageBreakBefore w:val="0"/>
              <w:widowControl/>
              <w:wordWrap/>
              <w:overflowPunct/>
              <w:topLinePunct w:val="0"/>
              <w:bidi w:val="0"/>
              <w:spacing w:line="560" w:lineRule="exact"/>
              <w:jc w:val="left"/>
              <w:rPr>
                <w:rFonts w:ascii="仿宋_GB2312" w:hAnsi="仿宋_GB2312" w:eastAsia="仿宋_GB2312" w:cs="仿宋_GB2312"/>
                <w:color w:val="000000"/>
                <w:sz w:val="24"/>
                <w:szCs w:val="24"/>
                <w:highlight w:val="none"/>
              </w:rPr>
            </w:pPr>
          </w:p>
        </w:tc>
        <w:tc>
          <w:tcPr>
            <w:tcW w:w="2514" w:type="dxa"/>
            <w:vMerge w:val="continue"/>
            <w:tcBorders>
              <w:left w:val="single" w:color="000000" w:sz="4" w:space="0"/>
              <w:right w:val="single" w:color="auto" w:sz="4" w:space="0"/>
            </w:tcBorders>
            <w:noWrap w:val="0"/>
            <w:vAlign w:val="top"/>
          </w:tcPr>
          <w:p>
            <w:pPr>
              <w:keepNext w:val="0"/>
              <w:keepLines w:val="0"/>
              <w:pageBreakBefore w:val="0"/>
              <w:widowControl/>
              <w:wordWrap/>
              <w:overflowPunct/>
              <w:topLinePunct w:val="0"/>
              <w:bidi w:val="0"/>
              <w:spacing w:line="560" w:lineRule="exact"/>
              <w:jc w:val="left"/>
              <w:rPr>
                <w:rFonts w:ascii="仿宋_GB2312" w:hAnsi="仿宋_GB2312" w:eastAsia="仿宋_GB2312" w:cs="仿宋_GB2312"/>
                <w:color w:val="000000"/>
                <w:sz w:val="24"/>
                <w:szCs w:val="24"/>
                <w:highlight w:val="none"/>
              </w:rPr>
            </w:pPr>
          </w:p>
        </w:tc>
        <w:tc>
          <w:tcPr>
            <w:tcW w:w="125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left="0" w:leftChars="0"/>
              <w:jc w:val="center"/>
              <w:textAlignment w:val="auto"/>
              <w:rPr>
                <w:rFonts w:hint="eastAsia"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val="en-US" w:eastAsia="zh-CN"/>
              </w:rPr>
              <w:t>成员前1/3</w:t>
            </w:r>
          </w:p>
        </w:tc>
        <w:tc>
          <w:tcPr>
            <w:tcW w:w="1434" w:type="dxa"/>
            <w:tcBorders>
              <w:top w:val="single" w:color="000000" w:sz="4" w:space="0"/>
              <w:left w:val="single" w:color="auto" w:sz="4" w:space="0"/>
              <w:bottom w:val="single" w:color="000000" w:sz="4" w:space="0"/>
              <w:right w:val="single" w:color="000000"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left="0" w:leftChars="0"/>
              <w:jc w:val="center"/>
              <w:textAlignment w:val="auto"/>
              <w:rPr>
                <w:rFonts w:hint="default"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val="en-US" w:eastAsia="zh-CN"/>
              </w:rPr>
              <w:t>10/10</w:t>
            </w:r>
          </w:p>
        </w:tc>
        <w:tc>
          <w:tcPr>
            <w:tcW w:w="1354"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left="0" w:leftChars="0"/>
              <w:jc w:val="center"/>
              <w:textAlignment w:val="auto"/>
              <w:rPr>
                <w:rFonts w:hint="default"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val="en-US" w:eastAsia="zh-CN"/>
              </w:rPr>
              <w:t>5/5</w:t>
            </w:r>
          </w:p>
        </w:tc>
        <w:tc>
          <w:tcPr>
            <w:tcW w:w="1329"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left="0" w:leftChars="0"/>
              <w:jc w:val="center"/>
              <w:textAlignment w:val="auto"/>
              <w:rPr>
                <w:rFonts w:hint="default"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val="en-US" w:eastAsia="zh-CN"/>
              </w:rPr>
              <w:t>3/3</w:t>
            </w:r>
          </w:p>
        </w:tc>
      </w:tr>
      <w:tr>
        <w:tblPrEx>
          <w:tblCellMar>
            <w:top w:w="53" w:type="dxa"/>
            <w:left w:w="107" w:type="dxa"/>
            <w:bottom w:w="0" w:type="dxa"/>
            <w:right w:w="78" w:type="dxa"/>
          </w:tblCellMar>
        </w:tblPrEx>
        <w:trPr>
          <w:trHeight w:val="445" w:hRule="atLeast"/>
        </w:trPr>
        <w:tc>
          <w:tcPr>
            <w:tcW w:w="1244" w:type="dxa"/>
            <w:vMerge w:val="continue"/>
            <w:tcBorders>
              <w:top w:val="nil"/>
              <w:left w:val="single" w:color="000000" w:sz="4" w:space="0"/>
              <w:bottom w:val="nil"/>
              <w:right w:val="single" w:color="000000" w:sz="4" w:space="0"/>
            </w:tcBorders>
            <w:noWrap w:val="0"/>
            <w:vAlign w:val="top"/>
          </w:tcPr>
          <w:p>
            <w:pPr>
              <w:keepNext w:val="0"/>
              <w:keepLines w:val="0"/>
              <w:pageBreakBefore w:val="0"/>
              <w:widowControl/>
              <w:wordWrap/>
              <w:overflowPunct/>
              <w:topLinePunct w:val="0"/>
              <w:bidi w:val="0"/>
              <w:spacing w:line="560" w:lineRule="exact"/>
              <w:jc w:val="left"/>
              <w:rPr>
                <w:rFonts w:ascii="仿宋_GB2312" w:hAnsi="仿宋_GB2312" w:eastAsia="仿宋_GB2312" w:cs="仿宋_GB2312"/>
                <w:color w:val="000000"/>
                <w:sz w:val="24"/>
                <w:szCs w:val="24"/>
                <w:highlight w:val="none"/>
              </w:rPr>
            </w:pPr>
          </w:p>
        </w:tc>
        <w:tc>
          <w:tcPr>
            <w:tcW w:w="2514" w:type="dxa"/>
            <w:vMerge w:val="continue"/>
            <w:tcBorders>
              <w:left w:val="single" w:color="000000" w:sz="4" w:space="0"/>
              <w:right w:val="single" w:color="auto" w:sz="4" w:space="0"/>
            </w:tcBorders>
            <w:noWrap w:val="0"/>
            <w:vAlign w:val="center"/>
          </w:tcPr>
          <w:p>
            <w:pPr>
              <w:keepNext w:val="0"/>
              <w:keepLines w:val="0"/>
              <w:pageBreakBefore w:val="0"/>
              <w:widowControl/>
              <w:wordWrap/>
              <w:overflowPunct/>
              <w:topLinePunct w:val="0"/>
              <w:bidi w:val="0"/>
              <w:spacing w:line="560" w:lineRule="exact"/>
              <w:ind w:left="328"/>
              <w:jc w:val="left"/>
              <w:rPr>
                <w:rFonts w:ascii="仿宋_GB2312" w:hAnsi="仿宋_GB2312" w:eastAsia="仿宋_GB2312" w:cs="仿宋_GB2312"/>
                <w:color w:val="000000"/>
                <w:sz w:val="24"/>
                <w:szCs w:val="24"/>
                <w:highlight w:val="none"/>
              </w:rPr>
            </w:pPr>
          </w:p>
        </w:tc>
        <w:tc>
          <w:tcPr>
            <w:tcW w:w="125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left="0" w:leftChars="0"/>
              <w:jc w:val="center"/>
              <w:textAlignment w:val="auto"/>
              <w:rPr>
                <w:rFonts w:hint="eastAsia"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val="en-US" w:eastAsia="zh-CN"/>
              </w:rPr>
              <w:t>成员中1/3</w:t>
            </w:r>
          </w:p>
        </w:tc>
        <w:tc>
          <w:tcPr>
            <w:tcW w:w="1434" w:type="dxa"/>
            <w:tcBorders>
              <w:top w:val="single" w:color="000000" w:sz="4" w:space="0"/>
              <w:left w:val="single" w:color="auto" w:sz="4" w:space="0"/>
              <w:bottom w:val="single" w:color="000000" w:sz="4" w:space="0"/>
              <w:right w:val="single" w:color="000000"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left="0" w:leftChars="0"/>
              <w:jc w:val="center"/>
              <w:textAlignment w:val="auto"/>
              <w:rPr>
                <w:rFonts w:hint="default"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val="en-US" w:eastAsia="zh-CN"/>
              </w:rPr>
              <w:t>8/8</w:t>
            </w:r>
          </w:p>
        </w:tc>
        <w:tc>
          <w:tcPr>
            <w:tcW w:w="1354"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left="0" w:leftChars="0"/>
              <w:jc w:val="center"/>
              <w:textAlignment w:val="auto"/>
              <w:rPr>
                <w:rFonts w:hint="default"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val="en-US" w:eastAsia="zh-CN"/>
              </w:rPr>
              <w:t>4/4</w:t>
            </w:r>
          </w:p>
        </w:tc>
        <w:tc>
          <w:tcPr>
            <w:tcW w:w="1329"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left="0" w:leftChars="0"/>
              <w:jc w:val="center"/>
              <w:textAlignment w:val="auto"/>
              <w:rPr>
                <w:rFonts w:hint="default"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val="en-US" w:eastAsia="zh-CN"/>
              </w:rPr>
              <w:t>2/2</w:t>
            </w:r>
          </w:p>
        </w:tc>
      </w:tr>
      <w:tr>
        <w:tblPrEx>
          <w:tblCellMar>
            <w:top w:w="53" w:type="dxa"/>
            <w:left w:w="107" w:type="dxa"/>
            <w:bottom w:w="0" w:type="dxa"/>
            <w:right w:w="78" w:type="dxa"/>
          </w:tblCellMar>
        </w:tblPrEx>
        <w:trPr>
          <w:trHeight w:val="445" w:hRule="atLeast"/>
        </w:trPr>
        <w:tc>
          <w:tcPr>
            <w:tcW w:w="1244" w:type="dxa"/>
            <w:vMerge w:val="continue"/>
            <w:tcBorders>
              <w:top w:val="nil"/>
              <w:left w:val="single" w:color="000000" w:sz="4" w:space="0"/>
              <w:bottom w:val="single" w:color="000000" w:sz="4" w:space="0"/>
              <w:right w:val="single" w:color="000000" w:sz="4" w:space="0"/>
            </w:tcBorders>
            <w:noWrap w:val="0"/>
            <w:vAlign w:val="top"/>
          </w:tcPr>
          <w:p>
            <w:pPr>
              <w:keepNext w:val="0"/>
              <w:keepLines w:val="0"/>
              <w:pageBreakBefore w:val="0"/>
              <w:widowControl/>
              <w:wordWrap/>
              <w:overflowPunct/>
              <w:topLinePunct w:val="0"/>
              <w:bidi w:val="0"/>
              <w:spacing w:line="560" w:lineRule="exact"/>
              <w:jc w:val="left"/>
              <w:rPr>
                <w:rFonts w:ascii="仿宋_GB2312" w:hAnsi="仿宋_GB2312" w:eastAsia="仿宋_GB2312" w:cs="仿宋_GB2312"/>
                <w:color w:val="000000"/>
                <w:sz w:val="24"/>
                <w:szCs w:val="24"/>
                <w:highlight w:val="none"/>
              </w:rPr>
            </w:pPr>
          </w:p>
        </w:tc>
        <w:tc>
          <w:tcPr>
            <w:tcW w:w="2514" w:type="dxa"/>
            <w:vMerge w:val="continue"/>
            <w:tcBorders>
              <w:left w:val="single" w:color="000000" w:sz="4" w:space="0"/>
              <w:bottom w:val="single" w:color="000000" w:sz="4" w:space="0"/>
              <w:right w:val="single" w:color="auto" w:sz="4" w:space="0"/>
            </w:tcBorders>
            <w:noWrap w:val="0"/>
            <w:vAlign w:val="top"/>
          </w:tcPr>
          <w:p>
            <w:pPr>
              <w:keepNext w:val="0"/>
              <w:keepLines w:val="0"/>
              <w:pageBreakBefore w:val="0"/>
              <w:widowControl/>
              <w:wordWrap/>
              <w:overflowPunct/>
              <w:topLinePunct w:val="0"/>
              <w:bidi w:val="0"/>
              <w:spacing w:line="560" w:lineRule="exact"/>
              <w:jc w:val="left"/>
              <w:rPr>
                <w:rFonts w:ascii="仿宋_GB2312" w:hAnsi="仿宋_GB2312" w:eastAsia="仿宋_GB2312" w:cs="仿宋_GB2312"/>
                <w:color w:val="000000"/>
                <w:sz w:val="24"/>
                <w:szCs w:val="24"/>
                <w:highlight w:val="none"/>
              </w:rPr>
            </w:pPr>
          </w:p>
        </w:tc>
        <w:tc>
          <w:tcPr>
            <w:tcW w:w="125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left="0" w:leftChars="0"/>
              <w:jc w:val="center"/>
              <w:textAlignment w:val="auto"/>
              <w:rPr>
                <w:rFonts w:hint="eastAsia"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val="en-US" w:eastAsia="zh-CN"/>
              </w:rPr>
              <w:t>成员后1/3</w:t>
            </w:r>
          </w:p>
        </w:tc>
        <w:tc>
          <w:tcPr>
            <w:tcW w:w="1434" w:type="dxa"/>
            <w:tcBorders>
              <w:top w:val="single" w:color="000000" w:sz="4" w:space="0"/>
              <w:left w:val="single" w:color="auto" w:sz="4" w:space="0"/>
              <w:bottom w:val="single" w:color="000000" w:sz="4" w:space="0"/>
              <w:right w:val="single" w:color="000000"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left="0" w:leftChars="0"/>
              <w:jc w:val="center"/>
              <w:textAlignment w:val="auto"/>
              <w:rPr>
                <w:rFonts w:hint="default"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val="en-US" w:eastAsia="zh-CN"/>
              </w:rPr>
              <w:t>6/6</w:t>
            </w:r>
          </w:p>
        </w:tc>
        <w:tc>
          <w:tcPr>
            <w:tcW w:w="1354"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left="0" w:leftChars="0"/>
              <w:jc w:val="center"/>
              <w:textAlignment w:val="auto"/>
              <w:rPr>
                <w:rFonts w:hint="default"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val="en-US" w:eastAsia="zh-CN"/>
              </w:rPr>
              <w:t>3/3</w:t>
            </w:r>
          </w:p>
        </w:tc>
        <w:tc>
          <w:tcPr>
            <w:tcW w:w="1329"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left="0" w:leftChars="0"/>
              <w:jc w:val="center"/>
              <w:textAlignment w:val="auto"/>
              <w:rPr>
                <w:rFonts w:hint="default"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val="en-US" w:eastAsia="zh-CN"/>
              </w:rPr>
              <w:t>1/1</w:t>
            </w:r>
          </w:p>
        </w:tc>
      </w:tr>
      <w:tr>
        <w:tblPrEx>
          <w:tblCellMar>
            <w:top w:w="53" w:type="dxa"/>
            <w:left w:w="107" w:type="dxa"/>
            <w:bottom w:w="0" w:type="dxa"/>
            <w:right w:w="78" w:type="dxa"/>
          </w:tblCellMar>
        </w:tblPrEx>
        <w:trPr>
          <w:trHeight w:val="445" w:hRule="atLeast"/>
        </w:trPr>
        <w:tc>
          <w:tcPr>
            <w:tcW w:w="1244" w:type="dxa"/>
            <w:vMerge w:val="restart"/>
            <w:tcBorders>
              <w:top w:val="single" w:color="000000" w:sz="4" w:space="0"/>
              <w:left w:val="single" w:color="000000" w:sz="4" w:space="0"/>
              <w:right w:val="single" w:color="000000" w:sz="4" w:space="0"/>
            </w:tcBorders>
            <w:noWrap w:val="0"/>
            <w:vAlign w:val="top"/>
          </w:tcPr>
          <w:p>
            <w:pPr>
              <w:keepNext w:val="0"/>
              <w:keepLines w:val="0"/>
              <w:pageBreakBefore w:val="0"/>
              <w:widowControl/>
              <w:wordWrap/>
              <w:overflowPunct/>
              <w:topLinePunct w:val="0"/>
              <w:bidi w:val="0"/>
              <w:spacing w:line="560" w:lineRule="exact"/>
              <w:ind w:left="46"/>
              <w:jc w:val="center"/>
              <w:rPr>
                <w:rFonts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思政名师工作室</w:t>
            </w:r>
          </w:p>
        </w:tc>
        <w:tc>
          <w:tcPr>
            <w:tcW w:w="0" w:type="auto"/>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wordWrap/>
              <w:overflowPunct/>
              <w:topLinePunct w:val="0"/>
              <w:bidi w:val="0"/>
              <w:spacing w:line="560" w:lineRule="exact"/>
              <w:ind w:left="167"/>
              <w:jc w:val="center"/>
              <w:rPr>
                <w:rFonts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lang w:val="en-US" w:eastAsia="zh-CN"/>
              </w:rPr>
              <w:t>成员前1/3</w:t>
            </w:r>
            <w:r>
              <w:rPr>
                <w:rFonts w:ascii="仿宋_GB2312" w:hAnsi="仿宋_GB2312" w:eastAsia="仿宋_GB2312" w:cs="仿宋_GB2312"/>
                <w:color w:val="000000"/>
                <w:sz w:val="24"/>
                <w:szCs w:val="24"/>
                <w:highlight w:val="none"/>
              </w:rPr>
              <w:t>负责人</w:t>
            </w:r>
          </w:p>
        </w:tc>
        <w:tc>
          <w:tcPr>
            <w:tcW w:w="1255"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wordWrap/>
              <w:overflowPunct/>
              <w:topLinePunct w:val="0"/>
              <w:bidi w:val="0"/>
              <w:spacing w:line="560" w:lineRule="exact"/>
              <w:jc w:val="center"/>
              <w:rPr>
                <w:rFonts w:ascii="仿宋_GB2312" w:hAnsi="仿宋_GB2312" w:eastAsia="仿宋_GB2312" w:cs="仿宋_GB2312"/>
                <w:color w:val="000000"/>
                <w:sz w:val="24"/>
                <w:szCs w:val="24"/>
                <w:highlight w:val="none"/>
              </w:rPr>
            </w:pPr>
            <w:r>
              <w:rPr>
                <w:rFonts w:hint="eastAsia" w:ascii="Times New Roman" w:hAnsi="Times New Roman" w:eastAsia="宋体" w:cs="Times New Roman"/>
                <w:color w:val="000000"/>
                <w:sz w:val="24"/>
                <w:szCs w:val="24"/>
                <w:highlight w:val="none"/>
                <w:lang w:val="en-US" w:eastAsia="zh-CN"/>
              </w:rPr>
              <w:t>18</w:t>
            </w:r>
          </w:p>
        </w:tc>
        <w:tc>
          <w:tcPr>
            <w:tcW w:w="1434"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wordWrap/>
              <w:overflowPunct/>
              <w:topLinePunct w:val="0"/>
              <w:bidi w:val="0"/>
              <w:spacing w:line="560" w:lineRule="exact"/>
              <w:jc w:val="center"/>
              <w:rPr>
                <w:rFonts w:hint="eastAsia" w:ascii="Times New Roman" w:hAnsi="Times New Roman" w:cs="Times New Roman"/>
                <w:color w:val="000000"/>
                <w:sz w:val="24"/>
                <w:szCs w:val="24"/>
                <w:highlight w:val="none"/>
              </w:rPr>
            </w:pPr>
            <w:r>
              <w:rPr>
                <w:rFonts w:hint="eastAsia" w:ascii="Times New Roman" w:hAnsi="Times New Roman" w:eastAsia="宋体" w:cs="Times New Roman"/>
                <w:color w:val="000000"/>
                <w:sz w:val="24"/>
                <w:szCs w:val="24"/>
                <w:highlight w:val="none"/>
                <w:lang w:val="en-US" w:eastAsia="zh-CN"/>
              </w:rPr>
              <w:t>12</w:t>
            </w:r>
          </w:p>
        </w:tc>
        <w:tc>
          <w:tcPr>
            <w:tcW w:w="1354"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wordWrap/>
              <w:overflowPunct/>
              <w:topLinePunct w:val="0"/>
              <w:bidi w:val="0"/>
              <w:spacing w:line="560" w:lineRule="exact"/>
              <w:jc w:val="center"/>
              <w:rPr>
                <w:rFonts w:hint="eastAsia" w:ascii="Times New Roman" w:hAnsi="Times New Roman" w:cs="Times New Roman"/>
                <w:color w:val="000000"/>
                <w:sz w:val="24"/>
                <w:szCs w:val="24"/>
                <w:highlight w:val="none"/>
              </w:rPr>
            </w:pPr>
            <w:r>
              <w:rPr>
                <w:rFonts w:hint="eastAsia" w:ascii="Times New Roman" w:hAnsi="Times New Roman" w:eastAsia="宋体" w:cs="Times New Roman"/>
                <w:color w:val="000000"/>
                <w:sz w:val="24"/>
                <w:szCs w:val="24"/>
                <w:highlight w:val="none"/>
                <w:lang w:val="en-US" w:eastAsia="zh-CN"/>
              </w:rPr>
              <w:t>8</w:t>
            </w:r>
          </w:p>
        </w:tc>
        <w:tc>
          <w:tcPr>
            <w:tcW w:w="1329"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wordWrap/>
              <w:overflowPunct/>
              <w:topLinePunct w:val="0"/>
              <w:bidi w:val="0"/>
              <w:spacing w:line="560" w:lineRule="exact"/>
              <w:jc w:val="center"/>
              <w:rPr>
                <w:rFonts w:hint="eastAsia" w:ascii="Times New Roman" w:hAnsi="Times New Roman" w:cs="Times New Roman"/>
                <w:color w:val="000000"/>
                <w:sz w:val="24"/>
                <w:szCs w:val="24"/>
                <w:highlight w:val="none"/>
              </w:rPr>
            </w:pPr>
          </w:p>
        </w:tc>
      </w:tr>
      <w:tr>
        <w:tblPrEx>
          <w:tblCellMar>
            <w:top w:w="53" w:type="dxa"/>
            <w:left w:w="107" w:type="dxa"/>
            <w:bottom w:w="0" w:type="dxa"/>
            <w:right w:w="78" w:type="dxa"/>
          </w:tblCellMar>
        </w:tblPrEx>
        <w:trPr>
          <w:trHeight w:val="445" w:hRule="atLeast"/>
        </w:trPr>
        <w:tc>
          <w:tcPr>
            <w:tcW w:w="1244" w:type="dxa"/>
            <w:vMerge w:val="continue"/>
            <w:tcBorders>
              <w:left w:val="single" w:color="000000" w:sz="4" w:space="0"/>
              <w:right w:val="single" w:color="000000" w:sz="4" w:space="0"/>
            </w:tcBorders>
            <w:noWrap w:val="0"/>
            <w:vAlign w:val="top"/>
          </w:tcPr>
          <w:p>
            <w:pPr>
              <w:keepNext w:val="0"/>
              <w:keepLines w:val="0"/>
              <w:pageBreakBefore w:val="0"/>
              <w:widowControl/>
              <w:wordWrap/>
              <w:overflowPunct/>
              <w:topLinePunct w:val="0"/>
              <w:bidi w:val="0"/>
              <w:spacing w:line="560" w:lineRule="exact"/>
              <w:jc w:val="left"/>
              <w:rPr>
                <w:rFonts w:ascii="仿宋_GB2312" w:hAnsi="仿宋_GB2312" w:eastAsia="仿宋_GB2312" w:cs="仿宋_GB2312"/>
                <w:color w:val="000000"/>
                <w:sz w:val="24"/>
                <w:szCs w:val="24"/>
                <w:highlight w:val="none"/>
              </w:rPr>
            </w:pPr>
          </w:p>
        </w:tc>
        <w:tc>
          <w:tcPr>
            <w:tcW w:w="0" w:type="auto"/>
            <w:vMerge w:val="continue"/>
            <w:tcBorders>
              <w:left w:val="single" w:color="000000" w:sz="4" w:space="0"/>
              <w:right w:val="single" w:color="000000"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left="0" w:leftChars="0"/>
              <w:jc w:val="center"/>
              <w:textAlignment w:val="auto"/>
              <w:rPr>
                <w:rFonts w:ascii="仿宋_GB2312" w:hAnsi="仿宋_GB2312" w:eastAsia="仿宋_GB2312" w:cs="仿宋_GB2312"/>
                <w:color w:val="000000"/>
                <w:sz w:val="24"/>
                <w:szCs w:val="24"/>
                <w:highlight w:val="none"/>
              </w:rPr>
            </w:pPr>
          </w:p>
        </w:tc>
        <w:tc>
          <w:tcPr>
            <w:tcW w:w="1255"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wordWrap/>
              <w:overflowPunct/>
              <w:topLinePunct w:val="0"/>
              <w:bidi w:val="0"/>
              <w:spacing w:line="560" w:lineRule="exact"/>
              <w:jc w:val="center"/>
              <w:rPr>
                <w:rFonts w:ascii="仿宋_GB2312" w:hAnsi="仿宋_GB2312" w:eastAsia="仿宋_GB2312" w:cs="仿宋_GB2312"/>
                <w:color w:val="000000"/>
                <w:sz w:val="24"/>
                <w:szCs w:val="24"/>
                <w:highlight w:val="none"/>
              </w:rPr>
            </w:pPr>
            <w:r>
              <w:rPr>
                <w:rFonts w:hint="eastAsia" w:ascii="Times New Roman" w:hAnsi="Times New Roman" w:eastAsia="宋体" w:cs="Times New Roman"/>
                <w:color w:val="000000"/>
                <w:sz w:val="24"/>
                <w:szCs w:val="24"/>
                <w:highlight w:val="none"/>
                <w:lang w:val="en-US" w:eastAsia="zh-CN"/>
              </w:rPr>
              <w:t>14</w:t>
            </w:r>
          </w:p>
        </w:tc>
        <w:tc>
          <w:tcPr>
            <w:tcW w:w="1434"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wordWrap/>
              <w:overflowPunct/>
              <w:topLinePunct w:val="0"/>
              <w:bidi w:val="0"/>
              <w:spacing w:line="560" w:lineRule="exact"/>
              <w:jc w:val="center"/>
              <w:rPr>
                <w:rFonts w:ascii="Times New Roman" w:hAnsi="Times New Roman" w:eastAsia="Times New Roman" w:cs="Times New Roman"/>
                <w:color w:val="000000"/>
                <w:sz w:val="24"/>
                <w:szCs w:val="24"/>
                <w:highlight w:val="none"/>
              </w:rPr>
            </w:pPr>
            <w:r>
              <w:rPr>
                <w:rFonts w:hint="eastAsia" w:ascii="Times New Roman" w:hAnsi="Times New Roman" w:eastAsia="宋体" w:cs="Times New Roman"/>
                <w:color w:val="000000"/>
                <w:sz w:val="24"/>
                <w:szCs w:val="24"/>
                <w:highlight w:val="none"/>
                <w:lang w:val="en-US" w:eastAsia="zh-CN"/>
              </w:rPr>
              <w:t>10</w:t>
            </w:r>
          </w:p>
        </w:tc>
        <w:tc>
          <w:tcPr>
            <w:tcW w:w="1354"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wordWrap/>
              <w:overflowPunct/>
              <w:topLinePunct w:val="0"/>
              <w:bidi w:val="0"/>
              <w:spacing w:line="560" w:lineRule="exact"/>
              <w:jc w:val="center"/>
              <w:rPr>
                <w:rFonts w:ascii="Times New Roman" w:hAnsi="Times New Roman" w:eastAsia="Times New Roman" w:cs="Times New Roman"/>
                <w:color w:val="000000"/>
                <w:sz w:val="24"/>
                <w:szCs w:val="24"/>
                <w:highlight w:val="none"/>
              </w:rPr>
            </w:pPr>
            <w:r>
              <w:rPr>
                <w:rFonts w:hint="eastAsia" w:ascii="Times New Roman" w:hAnsi="Times New Roman" w:eastAsia="宋体" w:cs="Times New Roman"/>
                <w:color w:val="000000"/>
                <w:sz w:val="24"/>
                <w:szCs w:val="24"/>
                <w:highlight w:val="none"/>
                <w:lang w:val="en-US" w:eastAsia="zh-CN"/>
              </w:rPr>
              <w:t>6</w:t>
            </w:r>
          </w:p>
        </w:tc>
        <w:tc>
          <w:tcPr>
            <w:tcW w:w="1329"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wordWrap/>
              <w:overflowPunct/>
              <w:topLinePunct w:val="0"/>
              <w:bidi w:val="0"/>
              <w:spacing w:line="560" w:lineRule="exact"/>
              <w:jc w:val="center"/>
              <w:rPr>
                <w:rFonts w:ascii="Times New Roman" w:hAnsi="Times New Roman" w:eastAsia="Times New Roman" w:cs="Times New Roman"/>
                <w:color w:val="000000"/>
                <w:sz w:val="24"/>
                <w:szCs w:val="24"/>
                <w:highlight w:val="none"/>
              </w:rPr>
            </w:pPr>
          </w:p>
        </w:tc>
      </w:tr>
      <w:tr>
        <w:tblPrEx>
          <w:tblCellMar>
            <w:top w:w="53" w:type="dxa"/>
            <w:left w:w="107" w:type="dxa"/>
            <w:bottom w:w="0" w:type="dxa"/>
            <w:right w:w="78" w:type="dxa"/>
          </w:tblCellMar>
        </w:tblPrEx>
        <w:trPr>
          <w:trHeight w:val="445" w:hRule="atLeast"/>
        </w:trPr>
        <w:tc>
          <w:tcPr>
            <w:tcW w:w="1244" w:type="dxa"/>
            <w:vMerge w:val="continue"/>
            <w:tcBorders>
              <w:left w:val="single" w:color="000000" w:sz="4" w:space="0"/>
              <w:right w:val="single" w:color="000000" w:sz="4" w:space="0"/>
            </w:tcBorders>
            <w:noWrap w:val="0"/>
            <w:vAlign w:val="top"/>
          </w:tcPr>
          <w:p>
            <w:pPr>
              <w:keepNext w:val="0"/>
              <w:keepLines w:val="0"/>
              <w:pageBreakBefore w:val="0"/>
              <w:widowControl/>
              <w:wordWrap/>
              <w:overflowPunct/>
              <w:topLinePunct w:val="0"/>
              <w:bidi w:val="0"/>
              <w:spacing w:line="560" w:lineRule="exact"/>
              <w:jc w:val="center"/>
              <w:rPr>
                <w:rFonts w:ascii="仿宋_GB2312" w:hAnsi="仿宋_GB2312" w:eastAsia="仿宋_GB2312" w:cs="仿宋_GB2312"/>
                <w:color w:val="000000"/>
                <w:sz w:val="24"/>
                <w:szCs w:val="24"/>
                <w:highlight w:val="none"/>
              </w:rPr>
            </w:pPr>
          </w:p>
        </w:tc>
        <w:tc>
          <w:tcPr>
            <w:tcW w:w="0" w:type="auto"/>
            <w:vMerge w:val="restart"/>
            <w:tcBorders>
              <w:top w:val="single" w:color="000000" w:sz="4" w:space="0"/>
              <w:left w:val="single" w:color="000000" w:sz="4" w:space="0"/>
              <w:right w:val="single" w:color="000000"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left="0" w:leftChars="0"/>
              <w:jc w:val="center"/>
              <w:textAlignment w:val="auto"/>
              <w:rPr>
                <w:rFonts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lang w:val="en-US" w:eastAsia="zh-CN"/>
              </w:rPr>
              <w:t>成员后1/3成员中1/3</w:t>
            </w:r>
          </w:p>
        </w:tc>
        <w:tc>
          <w:tcPr>
            <w:tcW w:w="1255"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wordWrap/>
              <w:overflowPunct/>
              <w:topLinePunct w:val="0"/>
              <w:bidi w:val="0"/>
              <w:spacing w:line="560" w:lineRule="exact"/>
              <w:jc w:val="center"/>
              <w:rPr>
                <w:rFonts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lang w:val="en-US" w:eastAsia="zh-CN"/>
              </w:rPr>
              <w:t>10</w:t>
            </w:r>
          </w:p>
        </w:tc>
        <w:tc>
          <w:tcPr>
            <w:tcW w:w="1434"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wordWrap/>
              <w:overflowPunct/>
              <w:topLinePunct w:val="0"/>
              <w:bidi w:val="0"/>
              <w:spacing w:line="560" w:lineRule="exact"/>
              <w:jc w:val="center"/>
              <w:rPr>
                <w:rFonts w:hint="eastAsia" w:ascii="Times New Roman" w:hAnsi="Times New Roman" w:cs="Times New Roman"/>
                <w:color w:val="000000"/>
                <w:sz w:val="24"/>
                <w:szCs w:val="24"/>
                <w:highlight w:val="none"/>
              </w:rPr>
            </w:pPr>
            <w:r>
              <w:rPr>
                <w:rFonts w:hint="eastAsia" w:ascii="仿宋_GB2312" w:hAnsi="仿宋_GB2312" w:eastAsia="仿宋_GB2312" w:cs="仿宋_GB2312"/>
                <w:color w:val="000000"/>
                <w:sz w:val="24"/>
                <w:szCs w:val="24"/>
                <w:highlight w:val="none"/>
                <w:lang w:val="en-US" w:eastAsia="zh-CN"/>
              </w:rPr>
              <w:t>8</w:t>
            </w:r>
          </w:p>
        </w:tc>
        <w:tc>
          <w:tcPr>
            <w:tcW w:w="1354"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wordWrap/>
              <w:overflowPunct/>
              <w:topLinePunct w:val="0"/>
              <w:bidi w:val="0"/>
              <w:spacing w:line="560" w:lineRule="exact"/>
              <w:jc w:val="center"/>
              <w:rPr>
                <w:rFonts w:hint="eastAsia" w:ascii="Times New Roman" w:hAnsi="Times New Roman" w:cs="Times New Roman"/>
                <w:color w:val="000000"/>
                <w:sz w:val="24"/>
                <w:szCs w:val="24"/>
                <w:highlight w:val="none"/>
              </w:rPr>
            </w:pPr>
            <w:r>
              <w:rPr>
                <w:rFonts w:hint="eastAsia" w:ascii="仿宋_GB2312" w:hAnsi="仿宋_GB2312" w:eastAsia="仿宋_GB2312" w:cs="仿宋_GB2312"/>
                <w:color w:val="000000"/>
                <w:sz w:val="24"/>
                <w:szCs w:val="24"/>
                <w:highlight w:val="none"/>
                <w:lang w:val="en-US" w:eastAsia="zh-CN"/>
              </w:rPr>
              <w:t>4</w:t>
            </w:r>
          </w:p>
        </w:tc>
        <w:tc>
          <w:tcPr>
            <w:tcW w:w="1329"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wordWrap/>
              <w:overflowPunct/>
              <w:topLinePunct w:val="0"/>
              <w:bidi w:val="0"/>
              <w:spacing w:line="560" w:lineRule="exact"/>
              <w:jc w:val="center"/>
              <w:rPr>
                <w:rFonts w:hint="eastAsia" w:ascii="Times New Roman" w:hAnsi="Times New Roman" w:cs="Times New Roman"/>
                <w:color w:val="000000"/>
                <w:sz w:val="24"/>
                <w:szCs w:val="24"/>
                <w:highlight w:val="none"/>
              </w:rPr>
            </w:pPr>
          </w:p>
        </w:tc>
      </w:tr>
      <w:tr>
        <w:tblPrEx>
          <w:tblCellMar>
            <w:top w:w="53" w:type="dxa"/>
            <w:left w:w="107" w:type="dxa"/>
            <w:bottom w:w="0" w:type="dxa"/>
            <w:right w:w="78" w:type="dxa"/>
          </w:tblCellMar>
        </w:tblPrEx>
        <w:trPr>
          <w:trHeight w:val="445" w:hRule="atLeast"/>
        </w:trPr>
        <w:tc>
          <w:tcPr>
            <w:tcW w:w="1244" w:type="dxa"/>
            <w:vMerge w:val="continue"/>
            <w:tcBorders>
              <w:left w:val="single" w:color="000000" w:sz="4" w:space="0"/>
              <w:right w:val="single" w:color="000000" w:sz="4" w:space="0"/>
            </w:tcBorders>
            <w:noWrap w:val="0"/>
            <w:vAlign w:val="top"/>
          </w:tcPr>
          <w:p>
            <w:pPr>
              <w:keepNext w:val="0"/>
              <w:keepLines w:val="0"/>
              <w:pageBreakBefore w:val="0"/>
              <w:widowControl/>
              <w:wordWrap/>
              <w:overflowPunct/>
              <w:topLinePunct w:val="0"/>
              <w:bidi w:val="0"/>
              <w:spacing w:line="560" w:lineRule="exact"/>
              <w:jc w:val="center"/>
              <w:rPr>
                <w:rFonts w:ascii="仿宋_GB2312" w:hAnsi="仿宋_GB2312" w:eastAsia="仿宋_GB2312" w:cs="仿宋_GB2312"/>
                <w:color w:val="000000"/>
                <w:sz w:val="24"/>
                <w:szCs w:val="24"/>
                <w:highlight w:val="none"/>
              </w:rPr>
            </w:pPr>
          </w:p>
        </w:tc>
        <w:tc>
          <w:tcPr>
            <w:tcW w:w="0" w:type="auto"/>
            <w:vMerge w:val="continue"/>
            <w:tcBorders>
              <w:left w:val="single" w:color="000000" w:sz="4" w:space="0"/>
              <w:right w:val="single" w:color="000000"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left="0" w:leftChars="0"/>
              <w:jc w:val="center"/>
              <w:textAlignment w:val="auto"/>
              <w:rPr>
                <w:rFonts w:ascii="仿宋_GB2312" w:hAnsi="仿宋_GB2312" w:eastAsia="仿宋_GB2312" w:cs="仿宋_GB2312"/>
                <w:color w:val="000000"/>
                <w:sz w:val="24"/>
                <w:szCs w:val="24"/>
                <w:highlight w:val="none"/>
              </w:rPr>
            </w:pPr>
          </w:p>
        </w:tc>
        <w:tc>
          <w:tcPr>
            <w:tcW w:w="1255"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wordWrap/>
              <w:overflowPunct/>
              <w:topLinePunct w:val="0"/>
              <w:bidi w:val="0"/>
              <w:spacing w:line="560" w:lineRule="exact"/>
              <w:jc w:val="center"/>
              <w:rPr>
                <w:rFonts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lang w:val="en-US" w:eastAsia="zh-CN"/>
              </w:rPr>
              <w:t>6</w:t>
            </w:r>
          </w:p>
        </w:tc>
        <w:tc>
          <w:tcPr>
            <w:tcW w:w="1434"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wordWrap/>
              <w:overflowPunct/>
              <w:topLinePunct w:val="0"/>
              <w:bidi w:val="0"/>
              <w:spacing w:line="560" w:lineRule="exact"/>
              <w:jc w:val="center"/>
              <w:rPr>
                <w:rFonts w:ascii="Times New Roman" w:hAnsi="Times New Roman" w:eastAsia="Times New Roman" w:cs="Times New Roman"/>
                <w:color w:val="000000"/>
                <w:sz w:val="24"/>
                <w:szCs w:val="24"/>
                <w:highlight w:val="none"/>
              </w:rPr>
            </w:pPr>
            <w:r>
              <w:rPr>
                <w:rFonts w:hint="eastAsia" w:ascii="仿宋_GB2312" w:hAnsi="仿宋_GB2312" w:eastAsia="仿宋_GB2312" w:cs="仿宋_GB2312"/>
                <w:color w:val="000000"/>
                <w:sz w:val="24"/>
                <w:szCs w:val="24"/>
                <w:highlight w:val="none"/>
                <w:lang w:val="en-US" w:eastAsia="zh-CN"/>
              </w:rPr>
              <w:t>4</w:t>
            </w:r>
          </w:p>
        </w:tc>
        <w:tc>
          <w:tcPr>
            <w:tcW w:w="1354"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wordWrap/>
              <w:overflowPunct/>
              <w:topLinePunct w:val="0"/>
              <w:bidi w:val="0"/>
              <w:spacing w:line="560" w:lineRule="exact"/>
              <w:jc w:val="center"/>
              <w:rPr>
                <w:rFonts w:ascii="Times New Roman" w:hAnsi="Times New Roman" w:eastAsia="Times New Roman" w:cs="Times New Roman"/>
                <w:color w:val="000000"/>
                <w:sz w:val="24"/>
                <w:szCs w:val="24"/>
                <w:highlight w:val="none"/>
              </w:rPr>
            </w:pPr>
            <w:r>
              <w:rPr>
                <w:rFonts w:hint="eastAsia" w:ascii="仿宋_GB2312" w:hAnsi="仿宋_GB2312" w:eastAsia="仿宋_GB2312" w:cs="仿宋_GB2312"/>
                <w:color w:val="000000"/>
                <w:sz w:val="24"/>
                <w:szCs w:val="24"/>
                <w:highlight w:val="none"/>
                <w:lang w:val="en-US" w:eastAsia="zh-CN"/>
              </w:rPr>
              <w:t>2</w:t>
            </w:r>
          </w:p>
        </w:tc>
        <w:tc>
          <w:tcPr>
            <w:tcW w:w="1329"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wordWrap/>
              <w:overflowPunct/>
              <w:topLinePunct w:val="0"/>
              <w:bidi w:val="0"/>
              <w:spacing w:line="560" w:lineRule="exact"/>
              <w:jc w:val="center"/>
              <w:rPr>
                <w:rFonts w:ascii="Times New Roman" w:hAnsi="Times New Roman" w:eastAsia="Times New Roman" w:cs="Times New Roman"/>
                <w:color w:val="000000"/>
                <w:sz w:val="24"/>
                <w:szCs w:val="24"/>
                <w:highlight w:val="none"/>
              </w:rPr>
            </w:pPr>
          </w:p>
        </w:tc>
      </w:tr>
      <w:tr>
        <w:tblPrEx>
          <w:tblCellMar>
            <w:top w:w="53" w:type="dxa"/>
            <w:left w:w="107" w:type="dxa"/>
            <w:bottom w:w="0" w:type="dxa"/>
            <w:right w:w="78" w:type="dxa"/>
          </w:tblCellMar>
        </w:tblPrEx>
        <w:trPr>
          <w:trHeight w:val="445" w:hRule="atLeast"/>
        </w:trPr>
        <w:tc>
          <w:tcPr>
            <w:tcW w:w="1244"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获得优秀思政课教师荣誉</w:t>
            </w:r>
          </w:p>
        </w:tc>
        <w:tc>
          <w:tcPr>
            <w:tcW w:w="376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wordWrap/>
              <w:overflowPunct/>
              <w:topLinePunct w:val="0"/>
              <w:bidi w:val="0"/>
              <w:spacing w:line="560" w:lineRule="exact"/>
              <w:jc w:val="center"/>
              <w:rPr>
                <w:rFonts w:ascii="仿宋_GB2312" w:hAnsi="仿宋_GB2312" w:eastAsia="仿宋_GB2312" w:cs="仿宋_GB2312"/>
                <w:color w:val="000000"/>
                <w:sz w:val="24"/>
                <w:szCs w:val="24"/>
                <w:highlight w:val="none"/>
              </w:rPr>
            </w:pPr>
            <w:r>
              <w:rPr>
                <w:rFonts w:hint="eastAsia" w:ascii="Times New Roman" w:hAnsi="Times New Roman" w:eastAsia="宋体" w:cs="Times New Roman"/>
                <w:color w:val="000000"/>
                <w:sz w:val="24"/>
                <w:szCs w:val="24"/>
                <w:highlight w:val="none"/>
                <w:lang w:val="en-US" w:eastAsia="zh-CN"/>
              </w:rPr>
              <w:t>30</w:t>
            </w:r>
          </w:p>
        </w:tc>
        <w:tc>
          <w:tcPr>
            <w:tcW w:w="143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wordWrap/>
              <w:overflowPunct/>
              <w:topLinePunct w:val="0"/>
              <w:bidi w:val="0"/>
              <w:spacing w:line="560" w:lineRule="exact"/>
              <w:jc w:val="center"/>
              <w:rPr>
                <w:rFonts w:hint="default" w:ascii="仿宋_GB2312" w:hAnsi="仿宋_GB2312" w:eastAsia="仿宋_GB2312" w:cs="仿宋_GB2312"/>
                <w:color w:val="000000"/>
                <w:sz w:val="24"/>
                <w:szCs w:val="24"/>
                <w:highlight w:val="none"/>
                <w:lang w:val="en-US" w:eastAsia="zh-CN"/>
              </w:rPr>
            </w:pPr>
            <w:r>
              <w:rPr>
                <w:rFonts w:hint="eastAsia" w:ascii="Times New Roman" w:hAnsi="Times New Roman" w:eastAsia="宋体" w:cs="Times New Roman"/>
                <w:color w:val="000000"/>
                <w:sz w:val="24"/>
                <w:szCs w:val="24"/>
                <w:highlight w:val="none"/>
                <w:lang w:val="en-US" w:eastAsia="zh-CN"/>
              </w:rPr>
              <w:t>20</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wordWrap/>
              <w:overflowPunct/>
              <w:topLinePunct w:val="0"/>
              <w:bidi w:val="0"/>
              <w:spacing w:line="560" w:lineRule="exact"/>
              <w:jc w:val="center"/>
              <w:rPr>
                <w:rFonts w:hint="default" w:ascii="仿宋_GB2312" w:hAnsi="仿宋_GB2312" w:eastAsia="仿宋_GB2312" w:cs="仿宋_GB2312"/>
                <w:color w:val="000000"/>
                <w:sz w:val="24"/>
                <w:szCs w:val="24"/>
                <w:highlight w:val="none"/>
                <w:lang w:val="en-US" w:eastAsia="zh-CN"/>
              </w:rPr>
            </w:pPr>
            <w:r>
              <w:rPr>
                <w:rFonts w:hint="eastAsia" w:ascii="Times New Roman" w:hAnsi="Times New Roman" w:eastAsia="宋体" w:cs="Times New Roman"/>
                <w:color w:val="000000"/>
                <w:sz w:val="24"/>
                <w:szCs w:val="24"/>
                <w:highlight w:val="none"/>
                <w:lang w:val="en-US" w:eastAsia="zh-CN"/>
              </w:rPr>
              <w:t>12</w:t>
            </w:r>
          </w:p>
        </w:tc>
        <w:tc>
          <w:tcPr>
            <w:tcW w:w="1329"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wordWrap/>
              <w:overflowPunct/>
              <w:topLinePunct w:val="0"/>
              <w:bidi w:val="0"/>
              <w:spacing w:line="560" w:lineRule="exact"/>
              <w:jc w:val="center"/>
              <w:rPr>
                <w:rFonts w:hint="eastAsia" w:ascii="仿宋_GB2312" w:hAnsi="仿宋_GB2312" w:eastAsia="仿宋_GB2312" w:cs="仿宋_GB2312"/>
                <w:color w:val="000000"/>
                <w:sz w:val="24"/>
                <w:szCs w:val="24"/>
                <w:highlight w:val="none"/>
                <w:lang w:eastAsia="zh-CN"/>
              </w:rPr>
            </w:pPr>
          </w:p>
        </w:tc>
      </w:tr>
      <w:tr>
        <w:tblPrEx>
          <w:tblCellMar>
            <w:top w:w="53" w:type="dxa"/>
            <w:left w:w="107" w:type="dxa"/>
            <w:bottom w:w="0" w:type="dxa"/>
            <w:right w:w="78" w:type="dxa"/>
          </w:tblCellMar>
        </w:tblPrEx>
        <w:trPr>
          <w:trHeight w:val="207" w:hRule="atLeast"/>
        </w:trPr>
        <w:tc>
          <w:tcPr>
            <w:tcW w:w="1244" w:type="dxa"/>
            <w:vMerge w:val="restart"/>
            <w:tcBorders>
              <w:top w:val="single" w:color="auto" w:sz="4" w:space="0"/>
              <w:left w:val="single" w:color="000000" w:sz="4" w:space="0"/>
              <w:right w:val="single" w:color="000000" w:sz="4" w:space="0"/>
            </w:tcBorders>
            <w:noWrap w:val="0"/>
            <w:vAlign w:val="center"/>
          </w:tcPr>
          <w:p>
            <w:pPr>
              <w:widowControl/>
              <w:spacing w:line="276" w:lineRule="auto"/>
              <w:jc w:val="left"/>
              <w:rPr>
                <w:rFonts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思政课教师指导学生或青年教师参加各级比赛或实践活动获奖（如：全国、自治区高校思想政治理论课优秀成果展示活动等）</w:t>
            </w:r>
          </w:p>
        </w:tc>
        <w:tc>
          <w:tcPr>
            <w:tcW w:w="3769"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after="103"/>
              <w:ind w:left="39"/>
              <w:jc w:val="cente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ascii="仿宋_GB2312" w:hAnsi="仿宋_GB2312" w:eastAsia="仿宋_GB2312" w:cs="仿宋_GB2312"/>
                <w:color w:val="000000" w:themeColor="text1"/>
                <w:sz w:val="24"/>
                <w:szCs w:val="24"/>
                <w:highlight w:val="none"/>
                <w14:textFill>
                  <w14:solidFill>
                    <w14:schemeClr w14:val="tx1"/>
                  </w14:solidFill>
                </w14:textFill>
              </w:rPr>
              <w:t>国</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家级</w:t>
            </w:r>
          </w:p>
          <w:p>
            <w:pPr>
              <w:widowControl/>
              <w:spacing w:after="103"/>
              <w:ind w:left="39" w:leftChars="0"/>
              <w:jc w:val="center"/>
              <w:rPr>
                <w:rFonts w:hint="eastAsia" w:ascii="仿宋_GB2312" w:hAnsi="仿宋_GB2312" w:eastAsia="仿宋_GB2312" w:cs="仿宋_GB2312"/>
                <w:color w:val="000000"/>
                <w:kern w:val="2"/>
                <w:sz w:val="24"/>
                <w:szCs w:val="24"/>
                <w:highlight w:val="none"/>
                <w:lang w:val="en-US" w:eastAsia="zh-CN" w:bidi="ar-SA"/>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一、二、三等</w:t>
            </w:r>
            <w:r>
              <w:rPr>
                <w:rFonts w:hint="eastAsia" w:ascii="仿宋_GB2312" w:hAnsi="仿宋_GB2312" w:eastAsia="仿宋_GB2312" w:cs="仿宋_GB2312"/>
                <w:color w:val="000000" w:themeColor="text1"/>
                <w:sz w:val="24"/>
                <w:szCs w:val="24"/>
                <w:highlight w:val="none"/>
                <w14:textFill>
                  <w14:solidFill>
                    <w14:schemeClr w14:val="tx1"/>
                  </w14:solidFill>
                </w14:textFill>
              </w:rPr>
              <w:t>、优秀奖</w:t>
            </w:r>
          </w:p>
        </w:tc>
        <w:tc>
          <w:tcPr>
            <w:tcW w:w="1434" w:type="dxa"/>
            <w:tcBorders>
              <w:top w:val="single" w:color="000000" w:sz="4" w:space="0"/>
              <w:left w:val="single" w:color="000000" w:sz="4" w:space="0"/>
              <w:bottom w:val="single" w:color="000000" w:sz="4" w:space="0"/>
              <w:right w:val="single" w:color="000000" w:sz="4" w:space="0"/>
            </w:tcBorders>
            <w:noWrap w:val="0"/>
            <w:vAlign w:val="top"/>
          </w:tcPr>
          <w:p>
            <w:pPr>
              <w:widowControl/>
              <w:spacing w:line="276" w:lineRule="auto"/>
              <w:jc w:val="center"/>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自治区级</w:t>
            </w:r>
          </w:p>
          <w:p>
            <w:pPr>
              <w:widowControl/>
              <w:spacing w:line="276" w:lineRule="auto"/>
              <w:jc w:val="center"/>
              <w:rPr>
                <w:rFonts w:hint="default"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一、二、三等</w:t>
            </w:r>
            <w:r>
              <w:rPr>
                <w:rFonts w:hint="eastAsia" w:ascii="仿宋_GB2312" w:hAnsi="仿宋_GB2312" w:eastAsia="仿宋_GB2312" w:cs="仿宋_GB2312"/>
                <w:color w:val="000000" w:themeColor="text1"/>
                <w:sz w:val="24"/>
                <w:szCs w:val="24"/>
                <w:highlight w:val="none"/>
                <w14:textFill>
                  <w14:solidFill>
                    <w14:schemeClr w14:val="tx1"/>
                  </w14:solidFill>
                </w14:textFill>
              </w:rPr>
              <w:t>、优秀奖</w:t>
            </w:r>
          </w:p>
        </w:tc>
        <w:tc>
          <w:tcPr>
            <w:tcW w:w="1354" w:type="dxa"/>
            <w:tcBorders>
              <w:top w:val="single" w:color="000000" w:sz="4" w:space="0"/>
              <w:left w:val="single" w:color="000000" w:sz="4" w:space="0"/>
              <w:bottom w:val="single" w:color="000000" w:sz="4" w:space="0"/>
              <w:right w:val="single" w:color="000000" w:sz="4" w:space="0"/>
            </w:tcBorders>
            <w:noWrap w:val="0"/>
            <w:vAlign w:val="top"/>
          </w:tcPr>
          <w:p>
            <w:pPr>
              <w:widowControl/>
              <w:spacing w:line="276" w:lineRule="auto"/>
              <w:jc w:val="cente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校级</w:t>
            </w:r>
          </w:p>
          <w:p>
            <w:pPr>
              <w:widowControl/>
              <w:spacing w:line="276" w:lineRule="auto"/>
              <w:jc w:val="center"/>
              <w:rPr>
                <w:rFonts w:hint="default"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一、二、三等</w:t>
            </w:r>
            <w:r>
              <w:rPr>
                <w:rFonts w:hint="eastAsia" w:ascii="仿宋_GB2312" w:hAnsi="仿宋_GB2312" w:eastAsia="仿宋_GB2312" w:cs="仿宋_GB2312"/>
                <w:color w:val="000000" w:themeColor="text1"/>
                <w:sz w:val="24"/>
                <w:szCs w:val="24"/>
                <w:highlight w:val="none"/>
                <w14:textFill>
                  <w14:solidFill>
                    <w14:schemeClr w14:val="tx1"/>
                  </w14:solidFill>
                </w14:textFill>
              </w:rPr>
              <w:t>、优秀奖</w:t>
            </w:r>
          </w:p>
        </w:tc>
        <w:tc>
          <w:tcPr>
            <w:tcW w:w="1329"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wordWrap/>
              <w:overflowPunct/>
              <w:topLinePunct w:val="0"/>
              <w:bidi w:val="0"/>
              <w:spacing w:line="560" w:lineRule="exact"/>
              <w:jc w:val="center"/>
              <w:rPr>
                <w:rFonts w:hint="eastAsia" w:ascii="仿宋_GB2312" w:hAnsi="仿宋_GB2312" w:eastAsia="仿宋_GB2312" w:cs="仿宋_GB2312"/>
                <w:color w:val="000000"/>
                <w:sz w:val="24"/>
                <w:szCs w:val="24"/>
                <w:highlight w:val="none"/>
                <w:lang w:eastAsia="zh-CN"/>
              </w:rPr>
            </w:pPr>
          </w:p>
        </w:tc>
      </w:tr>
      <w:tr>
        <w:tblPrEx>
          <w:tblCellMar>
            <w:top w:w="53" w:type="dxa"/>
            <w:left w:w="107" w:type="dxa"/>
            <w:bottom w:w="0" w:type="dxa"/>
            <w:right w:w="78" w:type="dxa"/>
          </w:tblCellMar>
        </w:tblPrEx>
        <w:trPr>
          <w:trHeight w:val="4135" w:hRule="atLeast"/>
        </w:trPr>
        <w:tc>
          <w:tcPr>
            <w:tcW w:w="1244" w:type="dxa"/>
            <w:vMerge w:val="continue"/>
            <w:tcBorders>
              <w:top w:val="single" w:color="auto" w:sz="4" w:space="0"/>
              <w:left w:val="single" w:color="000000" w:sz="4" w:space="0"/>
              <w:bottom w:val="single" w:color="auto" w:sz="4" w:space="0"/>
              <w:right w:val="single" w:color="000000" w:sz="4" w:space="0"/>
            </w:tcBorders>
            <w:noWrap w:val="0"/>
            <w:vAlign w:val="top"/>
          </w:tcPr>
          <w:p>
            <w:pPr>
              <w:widowControl/>
              <w:spacing w:line="276" w:lineRule="auto"/>
              <w:jc w:val="left"/>
              <w:rPr>
                <w:highlight w:val="none"/>
              </w:rPr>
            </w:pPr>
          </w:p>
        </w:tc>
        <w:tc>
          <w:tcPr>
            <w:tcW w:w="3769" w:type="dxa"/>
            <w:gridSpan w:val="2"/>
            <w:tcBorders>
              <w:top w:val="single" w:color="000000" w:sz="4" w:space="0"/>
              <w:left w:val="single" w:color="000000" w:sz="4" w:space="0"/>
              <w:bottom w:val="single" w:color="auto" w:sz="4" w:space="0"/>
              <w:right w:val="single" w:color="000000" w:sz="4" w:space="0"/>
            </w:tcBorders>
            <w:noWrap w:val="0"/>
            <w:vAlign w:val="top"/>
          </w:tcPr>
          <w:p>
            <w:pPr>
              <w:widowControl/>
              <w:spacing w:line="276" w:lineRule="auto"/>
              <w:ind w:left="115" w:leftChars="0"/>
              <w:jc w:val="left"/>
              <w:rPr>
                <w:rFonts w:hint="eastAsia" w:ascii="仿宋_GB2312" w:hAnsi="仿宋_GB2312" w:eastAsia="仿宋_GB2312" w:cs="仿宋_GB2312"/>
                <w:color w:val="000000"/>
                <w:kern w:val="2"/>
                <w:sz w:val="24"/>
                <w:szCs w:val="24"/>
                <w:highlight w:val="none"/>
                <w:lang w:val="en-US" w:eastAsia="zh-CN" w:bidi="ar-SA"/>
              </w:rPr>
            </w:pPr>
            <w:r>
              <w:rPr>
                <w:rFonts w:ascii="Times New Roman" w:hAnsi="Times New Roman" w:eastAsia="Times New Roman" w:cs="Times New Roman"/>
                <w:color w:val="000000" w:themeColor="text1"/>
                <w:sz w:val="24"/>
                <w:szCs w:val="24"/>
                <w:highlight w:val="none"/>
                <w14:textFill>
                  <w14:solidFill>
                    <w14:schemeClr w14:val="tx1"/>
                  </w14:solidFill>
                </w14:textFill>
              </w:rPr>
              <w:t>1</w:t>
            </w:r>
            <w:r>
              <w:rPr>
                <w:rFonts w:hint="eastAsia" w:ascii="Times New Roman" w:hAnsi="Times New Roman" w:eastAsia="宋体" w:cs="Times New Roman"/>
                <w:color w:val="000000" w:themeColor="text1"/>
                <w:sz w:val="24"/>
                <w:szCs w:val="24"/>
                <w:highlight w:val="none"/>
                <w:lang w:val="en-US" w:eastAsia="zh-CN"/>
                <w14:textFill>
                  <w14:solidFill>
                    <w14:schemeClr w14:val="tx1"/>
                  </w14:solidFill>
                </w14:textFill>
              </w:rPr>
              <w:t>8</w:t>
            </w:r>
            <w:r>
              <w:rPr>
                <w:rFonts w:ascii="Times New Roman" w:hAnsi="Times New Roman" w:eastAsia="Times New Roman" w:cs="Times New Roman"/>
                <w:color w:val="000000" w:themeColor="text1"/>
                <w:sz w:val="24"/>
                <w:szCs w:val="24"/>
                <w:highlight w:val="none"/>
                <w14:textFill>
                  <w14:solidFill>
                    <w14:schemeClr w14:val="tx1"/>
                  </w14:solidFill>
                </w14:textFill>
              </w:rPr>
              <w:t>/1</w:t>
            </w:r>
            <w:r>
              <w:rPr>
                <w:rFonts w:hint="eastAsia" w:ascii="Times New Roman" w:hAnsi="Times New Roman" w:eastAsia="宋体" w:cs="Times New Roman"/>
                <w:color w:val="000000" w:themeColor="text1"/>
                <w:sz w:val="24"/>
                <w:szCs w:val="24"/>
                <w:highlight w:val="none"/>
                <w:lang w:val="en-US" w:eastAsia="zh-CN"/>
                <w14:textFill>
                  <w14:solidFill>
                    <w14:schemeClr w14:val="tx1"/>
                  </w14:solidFill>
                </w14:textFill>
              </w:rPr>
              <w:t>4</w:t>
            </w:r>
            <w:r>
              <w:rPr>
                <w:rFonts w:ascii="Times New Roman" w:hAnsi="Times New Roman" w:eastAsia="Times New Roman" w:cs="Times New Roman"/>
                <w:color w:val="000000" w:themeColor="text1"/>
                <w:sz w:val="24"/>
                <w:szCs w:val="24"/>
                <w:highlight w:val="none"/>
                <w14:textFill>
                  <w14:solidFill>
                    <w14:schemeClr w14:val="tx1"/>
                  </w14:solidFill>
                </w14:textFill>
              </w:rPr>
              <w:t>/10/8</w:t>
            </w:r>
          </w:p>
        </w:tc>
        <w:tc>
          <w:tcPr>
            <w:tcW w:w="1434" w:type="dxa"/>
            <w:tcBorders>
              <w:top w:val="single" w:color="000000" w:sz="4" w:space="0"/>
              <w:left w:val="single" w:color="000000" w:sz="4" w:space="0"/>
              <w:bottom w:val="single" w:color="auto" w:sz="4" w:space="0"/>
              <w:right w:val="single" w:color="000000" w:sz="4" w:space="0"/>
            </w:tcBorders>
            <w:noWrap w:val="0"/>
            <w:vAlign w:val="top"/>
          </w:tcPr>
          <w:p>
            <w:pPr>
              <w:widowControl/>
              <w:spacing w:line="276" w:lineRule="auto"/>
              <w:ind w:left="149" w:leftChars="0"/>
              <w:jc w:val="left"/>
              <w:rPr>
                <w:rFonts w:hint="default" w:ascii="仿宋_GB2312" w:hAnsi="仿宋_GB2312" w:eastAsia="仿宋_GB2312" w:cs="仿宋_GB2312"/>
                <w:color w:val="000000"/>
                <w:sz w:val="24"/>
                <w:szCs w:val="24"/>
                <w:highlight w:val="none"/>
                <w:lang w:val="en-US" w:eastAsia="zh-CN"/>
              </w:rPr>
            </w:pPr>
            <w:r>
              <w:rPr>
                <w:rFonts w:ascii="Times New Roman" w:hAnsi="Times New Roman" w:eastAsia="Times New Roman" w:cs="Times New Roman"/>
                <w:color w:val="000000" w:themeColor="text1"/>
                <w:sz w:val="24"/>
                <w:szCs w:val="24"/>
                <w:highlight w:val="none"/>
                <w14:textFill>
                  <w14:solidFill>
                    <w14:schemeClr w14:val="tx1"/>
                  </w14:solidFill>
                </w14:textFill>
              </w:rPr>
              <w:t>1</w:t>
            </w:r>
            <w:r>
              <w:rPr>
                <w:rFonts w:hint="eastAsia" w:ascii="Times New Roman" w:hAnsi="Times New Roman" w:eastAsia="宋体" w:cs="Times New Roman"/>
                <w:color w:val="000000" w:themeColor="text1"/>
                <w:sz w:val="24"/>
                <w:szCs w:val="24"/>
                <w:highlight w:val="none"/>
                <w:lang w:val="en-US" w:eastAsia="zh-CN"/>
                <w14:textFill>
                  <w14:solidFill>
                    <w14:schemeClr w14:val="tx1"/>
                  </w14:solidFill>
                </w14:textFill>
              </w:rPr>
              <w:t>4</w:t>
            </w:r>
            <w:r>
              <w:rPr>
                <w:rFonts w:ascii="Times New Roman" w:hAnsi="Times New Roman" w:eastAsia="Times New Roman" w:cs="Times New Roman"/>
                <w:color w:val="000000" w:themeColor="text1"/>
                <w:sz w:val="24"/>
                <w:szCs w:val="24"/>
                <w:highlight w:val="none"/>
                <w14:textFill>
                  <w14:solidFill>
                    <w14:schemeClr w14:val="tx1"/>
                  </w14:solidFill>
                </w14:textFill>
              </w:rPr>
              <w:t>/</w:t>
            </w:r>
            <w:r>
              <w:rPr>
                <w:rFonts w:hint="eastAsia" w:ascii="Times New Roman" w:hAnsi="Times New Roman" w:eastAsia="宋体" w:cs="Times New Roman"/>
                <w:color w:val="000000" w:themeColor="text1"/>
                <w:sz w:val="24"/>
                <w:szCs w:val="24"/>
                <w:highlight w:val="none"/>
                <w:lang w:val="en-US" w:eastAsia="zh-CN"/>
                <w14:textFill>
                  <w14:solidFill>
                    <w14:schemeClr w14:val="tx1"/>
                  </w14:solidFill>
                </w14:textFill>
              </w:rPr>
              <w:t>10</w:t>
            </w:r>
            <w:r>
              <w:rPr>
                <w:rFonts w:ascii="Times New Roman" w:hAnsi="Times New Roman" w:eastAsia="Times New Roman" w:cs="Times New Roman"/>
                <w:color w:val="000000" w:themeColor="text1"/>
                <w:sz w:val="24"/>
                <w:szCs w:val="24"/>
                <w:highlight w:val="none"/>
                <w14:textFill>
                  <w14:solidFill>
                    <w14:schemeClr w14:val="tx1"/>
                  </w14:solidFill>
                </w14:textFill>
              </w:rPr>
              <w:t>/</w:t>
            </w:r>
            <w:r>
              <w:rPr>
                <w:rFonts w:hint="eastAsia" w:ascii="Times New Roman" w:hAnsi="Times New Roman" w:eastAsia="宋体" w:cs="Times New Roman"/>
                <w:color w:val="000000" w:themeColor="text1"/>
                <w:sz w:val="24"/>
                <w:szCs w:val="24"/>
                <w:highlight w:val="none"/>
                <w:lang w:val="en-US" w:eastAsia="zh-CN"/>
                <w14:textFill>
                  <w14:solidFill>
                    <w14:schemeClr w14:val="tx1"/>
                  </w14:solidFill>
                </w14:textFill>
              </w:rPr>
              <w:t>8</w:t>
            </w:r>
            <w:r>
              <w:rPr>
                <w:rFonts w:ascii="Times New Roman" w:hAnsi="Times New Roman" w:eastAsia="Times New Roman" w:cs="Times New Roman"/>
                <w:color w:val="000000" w:themeColor="text1"/>
                <w:sz w:val="24"/>
                <w:szCs w:val="24"/>
                <w:highlight w:val="none"/>
                <w14:textFill>
                  <w14:solidFill>
                    <w14:schemeClr w14:val="tx1"/>
                  </w14:solidFill>
                </w14:textFill>
              </w:rPr>
              <w:t>/</w:t>
            </w:r>
            <w:r>
              <w:rPr>
                <w:rFonts w:hint="eastAsia" w:ascii="Times New Roman" w:hAnsi="Times New Roman" w:eastAsia="宋体" w:cs="Times New Roman"/>
                <w:color w:val="000000" w:themeColor="text1"/>
                <w:sz w:val="24"/>
                <w:szCs w:val="24"/>
                <w:highlight w:val="none"/>
                <w:lang w:val="en-US" w:eastAsia="zh-CN"/>
                <w14:textFill>
                  <w14:solidFill>
                    <w14:schemeClr w14:val="tx1"/>
                  </w14:solidFill>
                </w14:textFill>
              </w:rPr>
              <w:t>6</w:t>
            </w:r>
          </w:p>
        </w:tc>
        <w:tc>
          <w:tcPr>
            <w:tcW w:w="1354" w:type="dxa"/>
            <w:tcBorders>
              <w:top w:val="single" w:color="000000" w:sz="4" w:space="0"/>
              <w:left w:val="single" w:color="000000" w:sz="4" w:space="0"/>
              <w:bottom w:val="single" w:color="auto" w:sz="4" w:space="0"/>
              <w:right w:val="single" w:color="000000" w:sz="4" w:space="0"/>
            </w:tcBorders>
            <w:noWrap w:val="0"/>
            <w:vAlign w:val="top"/>
          </w:tcPr>
          <w:p>
            <w:pPr>
              <w:widowControl/>
              <w:spacing w:line="276" w:lineRule="auto"/>
              <w:jc w:val="center"/>
              <w:rPr>
                <w:rFonts w:hint="eastAsia" w:ascii="仿宋_GB2312" w:hAnsi="仿宋_GB2312" w:eastAsia="仿宋_GB2312" w:cs="仿宋_GB2312"/>
                <w:color w:val="000000"/>
                <w:sz w:val="24"/>
                <w:szCs w:val="24"/>
                <w:highlight w:val="none"/>
                <w:lang w:val="en-US" w:eastAsia="zh-CN"/>
              </w:rPr>
            </w:pPr>
            <w:r>
              <w:rPr>
                <w:rFonts w:hint="eastAsia" w:ascii="Times New Roman" w:hAnsi="Times New Roman" w:eastAsia="宋体" w:cs="Times New Roman"/>
                <w:color w:val="000000" w:themeColor="text1"/>
                <w:sz w:val="24"/>
                <w:szCs w:val="24"/>
                <w:highlight w:val="none"/>
                <w:lang w:val="en-US" w:eastAsia="zh-CN"/>
                <w14:textFill>
                  <w14:solidFill>
                    <w14:schemeClr w14:val="tx1"/>
                  </w14:solidFill>
                </w14:textFill>
              </w:rPr>
              <w:t>10</w:t>
            </w:r>
            <w:r>
              <w:rPr>
                <w:rFonts w:ascii="Times New Roman" w:hAnsi="Times New Roman" w:eastAsia="Times New Roman" w:cs="Times New Roman"/>
                <w:color w:val="000000" w:themeColor="text1"/>
                <w:sz w:val="24"/>
                <w:szCs w:val="24"/>
                <w:highlight w:val="none"/>
                <w14:textFill>
                  <w14:solidFill>
                    <w14:schemeClr w14:val="tx1"/>
                  </w14:solidFill>
                </w14:textFill>
              </w:rPr>
              <w:t>/</w:t>
            </w:r>
            <w:r>
              <w:rPr>
                <w:rFonts w:hint="eastAsia" w:ascii="Times New Roman" w:hAnsi="Times New Roman" w:eastAsia="宋体" w:cs="Times New Roman"/>
                <w:color w:val="000000" w:themeColor="text1"/>
                <w:sz w:val="24"/>
                <w:szCs w:val="24"/>
                <w:highlight w:val="none"/>
                <w:lang w:val="en-US" w:eastAsia="zh-CN"/>
                <w14:textFill>
                  <w14:solidFill>
                    <w14:schemeClr w14:val="tx1"/>
                  </w14:solidFill>
                </w14:textFill>
              </w:rPr>
              <w:t>8</w:t>
            </w:r>
            <w:r>
              <w:rPr>
                <w:rFonts w:ascii="Times New Roman" w:hAnsi="Times New Roman" w:eastAsia="Times New Roman" w:cs="Times New Roman"/>
                <w:color w:val="000000" w:themeColor="text1"/>
                <w:sz w:val="24"/>
                <w:szCs w:val="24"/>
                <w:highlight w:val="none"/>
                <w14:textFill>
                  <w14:solidFill>
                    <w14:schemeClr w14:val="tx1"/>
                  </w14:solidFill>
                </w14:textFill>
              </w:rPr>
              <w:t>/</w:t>
            </w:r>
            <w:r>
              <w:rPr>
                <w:rFonts w:hint="eastAsia" w:ascii="Times New Roman" w:hAnsi="Times New Roman" w:eastAsia="宋体" w:cs="Times New Roman"/>
                <w:color w:val="000000" w:themeColor="text1"/>
                <w:sz w:val="24"/>
                <w:szCs w:val="24"/>
                <w:highlight w:val="none"/>
                <w:lang w:val="en-US" w:eastAsia="zh-CN"/>
                <w14:textFill>
                  <w14:solidFill>
                    <w14:schemeClr w14:val="tx1"/>
                  </w14:solidFill>
                </w14:textFill>
              </w:rPr>
              <w:t>6</w:t>
            </w:r>
            <w:r>
              <w:rPr>
                <w:rFonts w:ascii="Times New Roman" w:hAnsi="Times New Roman" w:eastAsia="Times New Roman" w:cs="Times New Roman"/>
                <w:color w:val="000000" w:themeColor="text1"/>
                <w:sz w:val="24"/>
                <w:szCs w:val="24"/>
                <w:highlight w:val="none"/>
                <w14:textFill>
                  <w14:solidFill>
                    <w14:schemeClr w14:val="tx1"/>
                  </w14:solidFill>
                </w14:textFill>
              </w:rPr>
              <w:t>/</w:t>
            </w:r>
            <w:r>
              <w:rPr>
                <w:rFonts w:hint="eastAsia" w:ascii="Times New Roman" w:hAnsi="Times New Roman" w:eastAsia="宋体" w:cs="Times New Roman"/>
                <w:color w:val="000000" w:themeColor="text1"/>
                <w:sz w:val="24"/>
                <w:szCs w:val="24"/>
                <w:highlight w:val="none"/>
                <w:lang w:val="en-US" w:eastAsia="zh-CN"/>
                <w14:textFill>
                  <w14:solidFill>
                    <w14:schemeClr w14:val="tx1"/>
                  </w14:solidFill>
                </w14:textFill>
              </w:rPr>
              <w:t>4</w:t>
            </w:r>
          </w:p>
        </w:tc>
        <w:tc>
          <w:tcPr>
            <w:tcW w:w="1329"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wordWrap/>
              <w:overflowPunct/>
              <w:topLinePunct w:val="0"/>
              <w:bidi w:val="0"/>
              <w:spacing w:line="560" w:lineRule="exact"/>
              <w:jc w:val="center"/>
              <w:rPr>
                <w:rFonts w:hint="eastAsia" w:ascii="仿宋_GB2312" w:hAnsi="仿宋_GB2312" w:eastAsia="仿宋_GB2312" w:cs="仿宋_GB2312"/>
                <w:color w:val="000000"/>
                <w:sz w:val="24"/>
                <w:szCs w:val="24"/>
                <w:highlight w:val="none"/>
                <w:lang w:val="en-US" w:eastAsia="zh-CN"/>
              </w:rPr>
            </w:pPr>
          </w:p>
        </w:tc>
      </w:tr>
    </w:tbl>
    <w:p>
      <w:pPr>
        <w:keepNext w:val="0"/>
        <w:keepLines w:val="0"/>
        <w:pageBreakBefore w:val="0"/>
        <w:widowControl/>
        <w:wordWrap/>
        <w:overflowPunct/>
        <w:topLinePunct w:val="0"/>
        <w:bidi w:val="0"/>
        <w:spacing w:line="560" w:lineRule="exact"/>
        <w:rPr>
          <w:sz w:val="24"/>
          <w:szCs w:val="24"/>
          <w:highlight w:val="none"/>
        </w:rPr>
      </w:pPr>
    </w:p>
    <w:p>
      <w:pPr>
        <w:keepNext w:val="0"/>
        <w:keepLines w:val="0"/>
        <w:pageBreakBefore w:val="0"/>
        <w:widowControl/>
        <w:wordWrap/>
        <w:overflowPunct/>
        <w:topLinePunct w:val="0"/>
        <w:bidi w:val="0"/>
        <w:spacing w:line="560" w:lineRule="exact"/>
        <w:rPr>
          <w:sz w:val="24"/>
          <w:szCs w:val="24"/>
          <w:highlight w:val="none"/>
        </w:rPr>
      </w:pPr>
      <w:r>
        <w:rPr>
          <w:rFonts w:hint="eastAsia"/>
          <w:sz w:val="24"/>
          <w:szCs w:val="24"/>
          <w:highlight w:val="none"/>
        </w:rPr>
        <w:t>表2：</w:t>
      </w:r>
    </w:p>
    <w:tbl>
      <w:tblPr>
        <w:tblStyle w:val="5"/>
        <w:tblW w:w="87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15"/>
        <w:gridCol w:w="2693"/>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4815" w:type="dxa"/>
            <w:noWrap w:val="0"/>
            <w:vAlign w:val="top"/>
          </w:tcPr>
          <w:p>
            <w:pPr>
              <w:keepNext w:val="0"/>
              <w:keepLines w:val="0"/>
              <w:pageBreakBefore w:val="0"/>
              <w:widowControl/>
              <w:wordWrap/>
              <w:overflowPunct/>
              <w:topLinePunct w:val="0"/>
              <w:bidi w:val="0"/>
              <w:spacing w:line="560" w:lineRule="exact"/>
              <w:jc w:val="center"/>
              <w:rPr>
                <w:rFonts w:ascii="黑体" w:hAnsi="黑体" w:eastAsia="黑体"/>
                <w:sz w:val="24"/>
                <w:szCs w:val="24"/>
                <w:highlight w:val="none"/>
              </w:rPr>
            </w:pPr>
            <w:r>
              <w:rPr>
                <w:rFonts w:hint="eastAsia" w:ascii="黑体" w:hAnsi="黑体" w:eastAsia="黑体" w:cs="仿宋_GB2312"/>
                <w:color w:val="000000"/>
                <w:sz w:val="24"/>
                <w:szCs w:val="24"/>
                <w:highlight w:val="none"/>
              </w:rPr>
              <w:t>思政课教师教学科研成果</w:t>
            </w:r>
          </w:p>
        </w:tc>
        <w:tc>
          <w:tcPr>
            <w:tcW w:w="2693" w:type="dxa"/>
            <w:noWrap w:val="0"/>
            <w:vAlign w:val="center"/>
          </w:tcPr>
          <w:p>
            <w:pPr>
              <w:keepNext w:val="0"/>
              <w:keepLines w:val="0"/>
              <w:pageBreakBefore w:val="0"/>
              <w:widowControl/>
              <w:wordWrap/>
              <w:overflowPunct/>
              <w:topLinePunct w:val="0"/>
              <w:bidi w:val="0"/>
              <w:spacing w:line="560" w:lineRule="exact"/>
              <w:jc w:val="center"/>
              <w:rPr>
                <w:rFonts w:ascii="黑体" w:hAnsi="黑体" w:eastAsia="黑体"/>
                <w:sz w:val="24"/>
                <w:szCs w:val="24"/>
                <w:highlight w:val="none"/>
              </w:rPr>
            </w:pPr>
            <w:r>
              <w:rPr>
                <w:rFonts w:hint="eastAsia" w:ascii="黑体" w:hAnsi="黑体" w:eastAsia="黑体"/>
                <w:sz w:val="24"/>
                <w:szCs w:val="24"/>
                <w:highlight w:val="none"/>
              </w:rPr>
              <w:t>建议赋分等级</w:t>
            </w:r>
          </w:p>
        </w:tc>
        <w:tc>
          <w:tcPr>
            <w:tcW w:w="1276" w:type="dxa"/>
            <w:noWrap w:val="0"/>
            <w:vAlign w:val="center"/>
          </w:tcPr>
          <w:p>
            <w:pPr>
              <w:keepNext w:val="0"/>
              <w:keepLines w:val="0"/>
              <w:pageBreakBefore w:val="0"/>
              <w:widowControl/>
              <w:wordWrap/>
              <w:overflowPunct/>
              <w:topLinePunct w:val="0"/>
              <w:bidi w:val="0"/>
              <w:spacing w:line="560" w:lineRule="exact"/>
              <w:jc w:val="center"/>
              <w:rPr>
                <w:rFonts w:ascii="黑体" w:hAnsi="黑体" w:eastAsia="黑体"/>
                <w:sz w:val="24"/>
                <w:szCs w:val="24"/>
                <w:highlight w:val="none"/>
              </w:rPr>
            </w:pPr>
            <w:r>
              <w:rPr>
                <w:rFonts w:hint="eastAsia" w:ascii="黑体" w:hAnsi="黑体" w:eastAsia="黑体"/>
                <w:sz w:val="24"/>
                <w:szCs w:val="24"/>
                <w:highlight w:val="none"/>
              </w:rPr>
              <w:t>建议分值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4815" w:type="dxa"/>
            <w:noWrap w:val="0"/>
            <w:vAlign w:val="center"/>
          </w:tcPr>
          <w:p>
            <w:pPr>
              <w:keepNext w:val="0"/>
              <w:keepLines w:val="0"/>
              <w:pageBreakBefore w:val="0"/>
              <w:widowControl/>
              <w:wordWrap/>
              <w:overflowPunct/>
              <w:topLinePunct w:val="0"/>
              <w:bidi w:val="0"/>
              <w:spacing w:line="560" w:lineRule="exact"/>
              <w:jc w:val="left"/>
              <w:rPr>
                <w:rFonts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在中央主流媒体（如：</w:t>
            </w:r>
            <w:r>
              <w:rPr>
                <w:rFonts w:hint="eastAsia" w:ascii="仿宋_GB2312" w:hAnsi="仿宋_GB2312" w:eastAsia="仿宋_GB2312" w:cs="仿宋_GB2312"/>
                <w:color w:val="000000"/>
                <w:sz w:val="24"/>
                <w:szCs w:val="24"/>
                <w:highlight w:val="none"/>
                <w:lang w:eastAsia="zh-CN"/>
              </w:rPr>
              <w:t>《人民日报》</w:t>
            </w:r>
            <w:r>
              <w:rPr>
                <w:rFonts w:hint="eastAsia" w:ascii="仿宋_GB2312" w:hAnsi="仿宋_GB2312" w:eastAsia="仿宋_GB2312" w:cs="仿宋_GB2312"/>
                <w:color w:val="000000"/>
                <w:sz w:val="24"/>
                <w:szCs w:val="24"/>
                <w:highlight w:val="none"/>
              </w:rPr>
              <w:t>/人民网、</w:t>
            </w:r>
            <w:r>
              <w:rPr>
                <w:rFonts w:hint="eastAsia" w:ascii="仿宋_GB2312" w:hAnsi="仿宋_GB2312" w:eastAsia="仿宋_GB2312" w:cs="仿宋_GB2312"/>
                <w:color w:val="000000"/>
                <w:sz w:val="24"/>
                <w:szCs w:val="24"/>
                <w:highlight w:val="none"/>
                <w:lang w:eastAsia="zh-CN"/>
              </w:rPr>
              <w:t>《光明日报》</w:t>
            </w:r>
            <w:r>
              <w:rPr>
                <w:rFonts w:hint="eastAsia" w:ascii="仿宋_GB2312" w:hAnsi="仿宋_GB2312" w:eastAsia="仿宋_GB2312" w:cs="仿宋_GB2312"/>
                <w:color w:val="000000"/>
                <w:sz w:val="24"/>
                <w:szCs w:val="24"/>
                <w:highlight w:val="none"/>
              </w:rPr>
              <w:t>/光明网、《党建》等）发表的理论文章</w:t>
            </w:r>
          </w:p>
        </w:tc>
        <w:tc>
          <w:tcPr>
            <w:tcW w:w="2693" w:type="dxa"/>
            <w:noWrap w:val="0"/>
            <w:vAlign w:val="center"/>
          </w:tcPr>
          <w:p>
            <w:pPr>
              <w:keepNext w:val="0"/>
              <w:keepLines w:val="0"/>
              <w:pageBreakBefore w:val="0"/>
              <w:widowControl/>
              <w:wordWrap/>
              <w:overflowPunct/>
              <w:topLinePunct w:val="0"/>
              <w:bidi w:val="0"/>
              <w:spacing w:line="560" w:lineRule="exact"/>
              <w:jc w:val="center"/>
              <w:rPr>
                <w:rFonts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A（权威期刊、报刊）</w:t>
            </w:r>
          </w:p>
        </w:tc>
        <w:tc>
          <w:tcPr>
            <w:tcW w:w="1276" w:type="dxa"/>
            <w:noWrap w:val="0"/>
            <w:vAlign w:val="center"/>
          </w:tcPr>
          <w:p>
            <w:pPr>
              <w:keepNext w:val="0"/>
              <w:keepLines w:val="0"/>
              <w:pageBreakBefore w:val="0"/>
              <w:widowControl/>
              <w:wordWrap/>
              <w:overflowPunct/>
              <w:topLinePunct w:val="0"/>
              <w:bidi w:val="0"/>
              <w:spacing w:line="560" w:lineRule="exact"/>
              <w:jc w:val="center"/>
              <w:rPr>
                <w:rFonts w:hint="eastAsia" w:ascii="仿宋_GB2312" w:hAnsi="仿宋_GB2312" w:eastAsia="仿宋_GB2312" w:cs="仿宋_GB2312"/>
                <w:color w:val="000000"/>
                <w:sz w:val="24"/>
                <w:szCs w:val="24"/>
                <w:highlight w:val="none"/>
                <w:lang w:eastAsia="zh-CN"/>
              </w:rPr>
            </w:pPr>
            <w:r>
              <w:rPr>
                <w:rFonts w:hint="eastAsia" w:ascii="仿宋_GB2312" w:hAnsi="仿宋_GB2312" w:eastAsia="仿宋_GB2312" w:cs="仿宋_GB2312"/>
                <w:color w:val="000000"/>
                <w:sz w:val="24"/>
                <w:szCs w:val="24"/>
                <w:highlight w:val="none"/>
              </w:rPr>
              <w:t>1</w:t>
            </w:r>
            <w:r>
              <w:rPr>
                <w:rFonts w:hint="eastAsia" w:ascii="仿宋_GB2312" w:hAnsi="仿宋_GB2312" w:eastAsia="仿宋_GB2312" w:cs="仿宋_GB2312"/>
                <w:color w:val="000000"/>
                <w:sz w:val="24"/>
                <w:szCs w:val="24"/>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4815" w:type="dxa"/>
            <w:noWrap w:val="0"/>
            <w:vAlign w:val="center"/>
          </w:tcPr>
          <w:p>
            <w:pPr>
              <w:keepNext w:val="0"/>
              <w:keepLines w:val="0"/>
              <w:pageBreakBefore w:val="0"/>
              <w:widowControl/>
              <w:wordWrap/>
              <w:overflowPunct/>
              <w:topLinePunct w:val="0"/>
              <w:bidi w:val="0"/>
              <w:spacing w:line="560" w:lineRule="exact"/>
              <w:jc w:val="left"/>
              <w:rPr>
                <w:rFonts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在地方主要党报党刊（如：《内蒙古日报》《实践》等）发表的理论文章</w:t>
            </w:r>
          </w:p>
        </w:tc>
        <w:tc>
          <w:tcPr>
            <w:tcW w:w="2693" w:type="dxa"/>
            <w:noWrap w:val="0"/>
            <w:vAlign w:val="center"/>
          </w:tcPr>
          <w:p>
            <w:pPr>
              <w:keepNext w:val="0"/>
              <w:keepLines w:val="0"/>
              <w:pageBreakBefore w:val="0"/>
              <w:widowControl/>
              <w:wordWrap/>
              <w:overflowPunct/>
              <w:topLinePunct w:val="0"/>
              <w:bidi w:val="0"/>
              <w:spacing w:line="560" w:lineRule="exact"/>
              <w:jc w:val="center"/>
              <w:rPr>
                <w:rFonts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B（核心期刊、报刊）</w:t>
            </w:r>
          </w:p>
        </w:tc>
        <w:tc>
          <w:tcPr>
            <w:tcW w:w="1276" w:type="dxa"/>
            <w:noWrap w:val="0"/>
            <w:vAlign w:val="center"/>
          </w:tcPr>
          <w:p>
            <w:pPr>
              <w:keepNext w:val="0"/>
              <w:keepLines w:val="0"/>
              <w:pageBreakBefore w:val="0"/>
              <w:widowControl/>
              <w:wordWrap/>
              <w:overflowPunct/>
              <w:topLinePunct w:val="0"/>
              <w:bidi w:val="0"/>
              <w:spacing w:line="560" w:lineRule="exact"/>
              <w:jc w:val="center"/>
              <w:rPr>
                <w:rFonts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4815" w:type="dxa"/>
            <w:noWrap w:val="0"/>
            <w:vAlign w:val="center"/>
          </w:tcPr>
          <w:p>
            <w:pPr>
              <w:keepNext w:val="0"/>
              <w:keepLines w:val="0"/>
              <w:pageBreakBefore w:val="0"/>
              <w:widowControl/>
              <w:wordWrap/>
              <w:overflowPunct/>
              <w:topLinePunct w:val="0"/>
              <w:bidi w:val="0"/>
              <w:spacing w:line="560" w:lineRule="exact"/>
              <w:jc w:val="left"/>
              <w:rPr>
                <w:rFonts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在中央和国家机关主管的马克思主义理论类学术期刊（如：《马克思主义研究》《思想理论教育导刊》等）发表的论文</w:t>
            </w:r>
          </w:p>
        </w:tc>
        <w:tc>
          <w:tcPr>
            <w:tcW w:w="2693" w:type="dxa"/>
            <w:noWrap w:val="0"/>
            <w:vAlign w:val="center"/>
          </w:tcPr>
          <w:p>
            <w:pPr>
              <w:keepNext w:val="0"/>
              <w:keepLines w:val="0"/>
              <w:pageBreakBefore w:val="0"/>
              <w:widowControl/>
              <w:wordWrap/>
              <w:overflowPunct/>
              <w:topLinePunct w:val="0"/>
              <w:bidi w:val="0"/>
              <w:spacing w:line="560" w:lineRule="exact"/>
              <w:jc w:val="center"/>
              <w:rPr>
                <w:rFonts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A（权威期刊、报刊）</w:t>
            </w:r>
          </w:p>
        </w:tc>
        <w:tc>
          <w:tcPr>
            <w:tcW w:w="1276" w:type="dxa"/>
            <w:noWrap w:val="0"/>
            <w:vAlign w:val="center"/>
          </w:tcPr>
          <w:p>
            <w:pPr>
              <w:keepNext w:val="0"/>
              <w:keepLines w:val="0"/>
              <w:pageBreakBefore w:val="0"/>
              <w:widowControl/>
              <w:wordWrap/>
              <w:overflowPunct/>
              <w:topLinePunct w:val="0"/>
              <w:bidi w:val="0"/>
              <w:spacing w:line="560" w:lineRule="exact"/>
              <w:jc w:val="center"/>
              <w:rPr>
                <w:rFonts w:hint="default"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val="en-US" w:eastAsia="zh-CN"/>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4815" w:type="dxa"/>
            <w:noWrap w:val="0"/>
            <w:vAlign w:val="center"/>
          </w:tcPr>
          <w:p>
            <w:pPr>
              <w:keepNext w:val="0"/>
              <w:keepLines w:val="0"/>
              <w:pageBreakBefore w:val="0"/>
              <w:widowControl/>
              <w:wordWrap/>
              <w:overflowPunct/>
              <w:topLinePunct w:val="0"/>
              <w:bidi w:val="0"/>
              <w:spacing w:line="560" w:lineRule="exact"/>
              <w:jc w:val="left"/>
              <w:rPr>
                <w:rFonts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在地方主要的马克思主义理论类学术期刊（如：《思想政治教育研究》等）发表的论文</w:t>
            </w:r>
          </w:p>
        </w:tc>
        <w:tc>
          <w:tcPr>
            <w:tcW w:w="2693" w:type="dxa"/>
            <w:noWrap w:val="0"/>
            <w:vAlign w:val="center"/>
          </w:tcPr>
          <w:p>
            <w:pPr>
              <w:keepNext w:val="0"/>
              <w:keepLines w:val="0"/>
              <w:pageBreakBefore w:val="0"/>
              <w:widowControl/>
              <w:wordWrap/>
              <w:overflowPunct/>
              <w:topLinePunct w:val="0"/>
              <w:bidi w:val="0"/>
              <w:spacing w:line="560" w:lineRule="exact"/>
              <w:jc w:val="center"/>
              <w:rPr>
                <w:rFonts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B（核心期刊、报刊）</w:t>
            </w:r>
          </w:p>
        </w:tc>
        <w:tc>
          <w:tcPr>
            <w:tcW w:w="1276" w:type="dxa"/>
            <w:noWrap w:val="0"/>
            <w:vAlign w:val="center"/>
          </w:tcPr>
          <w:p>
            <w:pPr>
              <w:keepNext w:val="0"/>
              <w:keepLines w:val="0"/>
              <w:pageBreakBefore w:val="0"/>
              <w:widowControl/>
              <w:wordWrap/>
              <w:overflowPunct/>
              <w:topLinePunct w:val="0"/>
              <w:bidi w:val="0"/>
              <w:spacing w:line="560" w:lineRule="exact"/>
              <w:jc w:val="center"/>
              <w:rPr>
                <w:rFonts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4815" w:type="dxa"/>
            <w:noWrap w:val="0"/>
            <w:vAlign w:val="center"/>
          </w:tcPr>
          <w:p>
            <w:pPr>
              <w:keepNext w:val="0"/>
              <w:keepLines w:val="0"/>
              <w:pageBreakBefore w:val="0"/>
              <w:widowControl/>
              <w:wordWrap/>
              <w:overflowPunct/>
              <w:topLinePunct w:val="0"/>
              <w:bidi w:val="0"/>
              <w:spacing w:line="560" w:lineRule="exact"/>
              <w:jc w:val="left"/>
              <w:rPr>
                <w:rFonts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提交被中央和国家机关采纳的决策咨询报告，在国家级知名网络媒体上发表的正能量视频、理论性文章或论文论著且点击率达到10万以上的网络作品</w:t>
            </w:r>
          </w:p>
        </w:tc>
        <w:tc>
          <w:tcPr>
            <w:tcW w:w="2693" w:type="dxa"/>
            <w:noWrap w:val="0"/>
            <w:vAlign w:val="center"/>
          </w:tcPr>
          <w:p>
            <w:pPr>
              <w:keepNext w:val="0"/>
              <w:keepLines w:val="0"/>
              <w:pageBreakBefore w:val="0"/>
              <w:widowControl/>
              <w:wordWrap/>
              <w:overflowPunct/>
              <w:topLinePunct w:val="0"/>
              <w:bidi w:val="0"/>
              <w:spacing w:line="560" w:lineRule="exact"/>
              <w:jc w:val="center"/>
              <w:rPr>
                <w:rFonts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A（权威期刊、报刊）</w:t>
            </w:r>
          </w:p>
        </w:tc>
        <w:tc>
          <w:tcPr>
            <w:tcW w:w="1276" w:type="dxa"/>
            <w:noWrap w:val="0"/>
            <w:vAlign w:val="center"/>
          </w:tcPr>
          <w:p>
            <w:pPr>
              <w:keepNext w:val="0"/>
              <w:keepLines w:val="0"/>
              <w:pageBreakBefore w:val="0"/>
              <w:widowControl/>
              <w:wordWrap/>
              <w:overflowPunct/>
              <w:topLinePunct w:val="0"/>
              <w:bidi w:val="0"/>
              <w:spacing w:line="560" w:lineRule="exact"/>
              <w:jc w:val="center"/>
              <w:rPr>
                <w:rFonts w:hint="eastAsia" w:ascii="仿宋_GB2312" w:hAnsi="仿宋_GB2312" w:eastAsia="仿宋_GB2312" w:cs="仿宋_GB2312"/>
                <w:color w:val="000000"/>
                <w:sz w:val="24"/>
                <w:szCs w:val="24"/>
                <w:highlight w:val="none"/>
                <w:lang w:eastAsia="zh-CN"/>
              </w:rPr>
            </w:pPr>
            <w:r>
              <w:rPr>
                <w:rFonts w:hint="eastAsia" w:ascii="仿宋_GB2312" w:hAnsi="仿宋_GB2312" w:eastAsia="仿宋_GB2312" w:cs="仿宋_GB2312"/>
                <w:color w:val="000000"/>
                <w:sz w:val="24"/>
                <w:szCs w:val="24"/>
                <w:highlight w:val="none"/>
              </w:rPr>
              <w:t>1</w:t>
            </w:r>
            <w:r>
              <w:rPr>
                <w:rFonts w:hint="eastAsia" w:ascii="仿宋_GB2312" w:hAnsi="仿宋_GB2312" w:eastAsia="仿宋_GB2312" w:cs="仿宋_GB2312"/>
                <w:color w:val="000000"/>
                <w:sz w:val="24"/>
                <w:szCs w:val="24"/>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4815" w:type="dxa"/>
            <w:noWrap w:val="0"/>
            <w:vAlign w:val="center"/>
          </w:tcPr>
          <w:p>
            <w:pPr>
              <w:keepNext w:val="0"/>
              <w:keepLines w:val="0"/>
              <w:pageBreakBefore w:val="0"/>
              <w:widowControl/>
              <w:wordWrap/>
              <w:overflowPunct/>
              <w:topLinePunct w:val="0"/>
              <w:bidi w:val="0"/>
              <w:spacing w:line="560" w:lineRule="exact"/>
              <w:jc w:val="left"/>
              <w:rPr>
                <w:rFonts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思政课教师提交被省部级以上部门采纳的决策咨询报告，在省部级知名网络媒体上发表的正能量视频、理论性文章或论文论著且点击率达到5万以上的网络作品</w:t>
            </w:r>
          </w:p>
        </w:tc>
        <w:tc>
          <w:tcPr>
            <w:tcW w:w="2693" w:type="dxa"/>
            <w:noWrap w:val="0"/>
            <w:vAlign w:val="center"/>
          </w:tcPr>
          <w:p>
            <w:pPr>
              <w:keepNext w:val="0"/>
              <w:keepLines w:val="0"/>
              <w:pageBreakBefore w:val="0"/>
              <w:widowControl/>
              <w:wordWrap/>
              <w:overflowPunct/>
              <w:topLinePunct w:val="0"/>
              <w:bidi w:val="0"/>
              <w:spacing w:line="560" w:lineRule="exact"/>
              <w:jc w:val="center"/>
              <w:rPr>
                <w:rFonts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B（核心期刊、报刊）</w:t>
            </w:r>
          </w:p>
        </w:tc>
        <w:tc>
          <w:tcPr>
            <w:tcW w:w="1276" w:type="dxa"/>
            <w:noWrap w:val="0"/>
            <w:vAlign w:val="center"/>
          </w:tcPr>
          <w:p>
            <w:pPr>
              <w:keepNext w:val="0"/>
              <w:keepLines w:val="0"/>
              <w:pageBreakBefore w:val="0"/>
              <w:widowControl/>
              <w:wordWrap/>
              <w:overflowPunct/>
              <w:topLinePunct w:val="0"/>
              <w:bidi w:val="0"/>
              <w:spacing w:line="560" w:lineRule="exact"/>
              <w:jc w:val="center"/>
              <w:rPr>
                <w:rFonts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4815" w:type="dxa"/>
            <w:noWrap w:val="0"/>
            <w:vAlign w:val="center"/>
          </w:tcPr>
          <w:p>
            <w:pPr>
              <w:keepNext w:val="0"/>
              <w:keepLines w:val="0"/>
              <w:pageBreakBefore w:val="0"/>
              <w:widowControl/>
              <w:wordWrap/>
              <w:overflowPunct/>
              <w:topLinePunct w:val="0"/>
              <w:bidi w:val="0"/>
              <w:spacing w:line="560" w:lineRule="exact"/>
              <w:jc w:val="left"/>
              <w:rPr>
                <w:rFonts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参加全国高校思政课教学研讨会的获奖论文</w:t>
            </w:r>
          </w:p>
        </w:tc>
        <w:tc>
          <w:tcPr>
            <w:tcW w:w="2693" w:type="dxa"/>
            <w:noWrap w:val="0"/>
            <w:vAlign w:val="center"/>
          </w:tcPr>
          <w:p>
            <w:pPr>
              <w:keepNext w:val="0"/>
              <w:keepLines w:val="0"/>
              <w:pageBreakBefore w:val="0"/>
              <w:widowControl/>
              <w:wordWrap/>
              <w:overflowPunct/>
              <w:topLinePunct w:val="0"/>
              <w:bidi w:val="0"/>
              <w:spacing w:line="560" w:lineRule="exact"/>
              <w:jc w:val="center"/>
              <w:rPr>
                <w:rFonts w:hint="eastAsia"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18"/>
                <w:szCs w:val="18"/>
                <w:highlight w:val="none"/>
                <w:lang w:val="en-US" w:eastAsia="zh-CN"/>
              </w:rPr>
              <w:t>全国性学术会议（大会报告）</w:t>
            </w:r>
          </w:p>
        </w:tc>
        <w:tc>
          <w:tcPr>
            <w:tcW w:w="1276" w:type="dxa"/>
            <w:noWrap w:val="0"/>
            <w:vAlign w:val="center"/>
          </w:tcPr>
          <w:p>
            <w:pPr>
              <w:keepNext w:val="0"/>
              <w:keepLines w:val="0"/>
              <w:pageBreakBefore w:val="0"/>
              <w:widowControl/>
              <w:wordWrap/>
              <w:overflowPunct/>
              <w:topLinePunct w:val="0"/>
              <w:bidi w:val="0"/>
              <w:spacing w:line="560" w:lineRule="exact"/>
              <w:jc w:val="center"/>
              <w:rPr>
                <w:rFonts w:hint="default"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4815" w:type="dxa"/>
            <w:noWrap w:val="0"/>
            <w:vAlign w:val="center"/>
          </w:tcPr>
          <w:p>
            <w:pPr>
              <w:keepNext w:val="0"/>
              <w:keepLines w:val="0"/>
              <w:pageBreakBefore w:val="0"/>
              <w:widowControl/>
              <w:wordWrap/>
              <w:overflowPunct/>
              <w:topLinePunct w:val="0"/>
              <w:bidi w:val="0"/>
              <w:spacing w:line="560" w:lineRule="exact"/>
              <w:jc w:val="left"/>
              <w:rPr>
                <w:rFonts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承担思政导师、指导学生社团活动等工作</w:t>
            </w:r>
          </w:p>
          <w:p>
            <w:pPr>
              <w:keepNext w:val="0"/>
              <w:keepLines w:val="0"/>
              <w:pageBreakBefore w:val="0"/>
              <w:widowControl/>
              <w:wordWrap/>
              <w:overflowPunct/>
              <w:topLinePunct w:val="0"/>
              <w:bidi w:val="0"/>
              <w:spacing w:line="560" w:lineRule="exact"/>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（任现职期间）</w:t>
            </w:r>
          </w:p>
        </w:tc>
        <w:tc>
          <w:tcPr>
            <w:tcW w:w="3969" w:type="dxa"/>
            <w:gridSpan w:val="2"/>
            <w:noWrap w:val="0"/>
            <w:vAlign w:val="top"/>
          </w:tcPr>
          <w:p>
            <w:pPr>
              <w:keepNext w:val="0"/>
              <w:keepLines w:val="0"/>
              <w:pageBreakBefore w:val="0"/>
              <w:widowControl/>
              <w:wordWrap/>
              <w:overflowPunct/>
              <w:topLinePunct w:val="0"/>
              <w:bidi w:val="0"/>
              <w:spacing w:line="560" w:lineRule="exact"/>
              <w:jc w:val="center"/>
              <w:rPr>
                <w:rFonts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每年×0.8（满一年以上才可以赋分，最高不超过 3.2 分）</w:t>
            </w:r>
          </w:p>
        </w:tc>
      </w:tr>
    </w:tbl>
    <w:p>
      <w:pPr>
        <w:rPr>
          <w:highlight w:val="none"/>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E0A487D7-BE92-4923-8E27-CC59D3197D5E}"/>
  </w:font>
  <w:font w:name="黑体">
    <w:panose1 w:val="02010609060101010101"/>
    <w:charset w:val="86"/>
    <w:family w:val="auto"/>
    <w:pitch w:val="default"/>
    <w:sig w:usb0="800002BF" w:usb1="38CF7CFA" w:usb2="00000016" w:usb3="00000000" w:csb0="00040001" w:csb1="00000000"/>
    <w:embedRegular r:id="rId2" w:fontKey="{82FCF0BA-6272-419B-A7FB-AB50E6119FB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3" w:fontKey="{94DCB828-2229-440C-8030-3B5CE3A62FB4}"/>
  </w:font>
  <w:font w:name="方正小标宋简体">
    <w:panose1 w:val="02000000000000000000"/>
    <w:charset w:val="86"/>
    <w:family w:val="auto"/>
    <w:pitch w:val="default"/>
    <w:sig w:usb0="00000001" w:usb1="080E0000" w:usb2="00000000" w:usb3="00000000" w:csb0="00040000" w:csb1="00000000"/>
    <w:embedRegular r:id="rId4" w:fontKey="{22AB2579-A066-4ED7-BB64-8802FD0CD30F}"/>
  </w:font>
  <w:font w:name="方正公文小标宋">
    <w:panose1 w:val="02000500000000000000"/>
    <w:charset w:val="86"/>
    <w:family w:val="auto"/>
    <w:pitch w:val="default"/>
    <w:sig w:usb0="A00002BF" w:usb1="38CF7CFA" w:usb2="00000016" w:usb3="00000000" w:csb0="00040001" w:csb1="00000000"/>
    <w:embedRegular r:id="rId5" w:fontKey="{60463C8B-CF1C-4B85-BCE0-9321D1D81A5F}"/>
  </w:font>
  <w:font w:name="仿宋_GB2312">
    <w:panose1 w:val="02010609030101010101"/>
    <w:charset w:val="86"/>
    <w:family w:val="modern"/>
    <w:pitch w:val="default"/>
    <w:sig w:usb0="00000001" w:usb1="080E0000" w:usb2="00000000" w:usb3="00000000" w:csb0="00040000" w:csb1="00000000"/>
    <w:embedRegular r:id="rId6" w:fontKey="{22002F6B-F88E-4DB2-A6A8-2F1EC78FB711}"/>
  </w:font>
  <w:font w:name="方正楷体_GB2312">
    <w:panose1 w:val="02000000000000000000"/>
    <w:charset w:val="86"/>
    <w:family w:val="auto"/>
    <w:pitch w:val="default"/>
    <w:sig w:usb0="A00002BF" w:usb1="184F6CFA" w:usb2="00000012" w:usb3="00000000" w:csb0="00040001" w:csb1="00000000"/>
    <w:embedRegular r:id="rId7" w:fontKey="{B877ACE1-6AC1-4667-88C5-9CF5D4700863}"/>
  </w:font>
  <w:font w:name="楷体_GB2312">
    <w:panose1 w:val="02010609030101010101"/>
    <w:charset w:val="86"/>
    <w:family w:val="auto"/>
    <w:pitch w:val="default"/>
    <w:sig w:usb0="00000001" w:usb1="080E0000" w:usb2="00000000" w:usb3="00000000" w:csb0="00040000" w:csb1="00000000"/>
    <w:embedRegular r:id="rId8" w:fontKey="{254DDA84-211E-4EE4-8AAA-B12467D4D331}"/>
  </w:font>
  <w:font w:name="仿宋">
    <w:panose1 w:val="02010609060101010101"/>
    <w:charset w:val="86"/>
    <w:family w:val="modern"/>
    <w:pitch w:val="default"/>
    <w:sig w:usb0="800002BF" w:usb1="38CF7CFA" w:usb2="00000016" w:usb3="00000000" w:csb0="00040001" w:csb1="00000000"/>
    <w:embedRegular r:id="rId9" w:fontKey="{DA352DEA-F418-4936-ACAC-502A66B57842}"/>
  </w:font>
  <w:font w:name="Algerian">
    <w:panose1 w:val="04020705040A02060702"/>
    <w:charset w:val="00"/>
    <w:family w:val="auto"/>
    <w:pitch w:val="default"/>
    <w:sig w:usb0="00000003" w:usb1="00000000" w:usb2="00000000" w:usb3="00000000" w:csb0="20000001" w:csb1="00000000"/>
    <w:embedRegular r:id="rId10" w:fontKey="{F9A1FF1D-323F-49B8-81BB-312118EC2F3E}"/>
  </w:font>
  <w:font w:name="微软雅黑">
    <w:panose1 w:val="020B0503020204020204"/>
    <w:charset w:val="86"/>
    <w:family w:val="auto"/>
    <w:pitch w:val="default"/>
    <w:sig w:usb0="80000287" w:usb1="2ACF3C50" w:usb2="00000016" w:usb3="00000000" w:csb0="0004001F" w:csb1="00000000"/>
    <w:embedRegular r:id="rId11" w:fontKey="{E40A1AC5-E851-4B3A-BA11-0D8F75702F1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79F55DB"/>
    <w:multiLevelType w:val="singleLevel"/>
    <w:tmpl w:val="E79F55DB"/>
    <w:lvl w:ilvl="0" w:tentative="0">
      <w:start w:val="4"/>
      <w:numFmt w:val="chineseCounting"/>
      <w:suff w:val="nothing"/>
      <w:lvlText w:val="（%1）"/>
      <w:lvlJc w:val="left"/>
      <w:rPr>
        <w:rFonts w:hint="eastAsia"/>
      </w:rPr>
    </w:lvl>
  </w:abstractNum>
  <w:abstractNum w:abstractNumId="1">
    <w:nsid w:val="FC8AD520"/>
    <w:multiLevelType w:val="singleLevel"/>
    <w:tmpl w:val="FC8AD520"/>
    <w:lvl w:ilvl="0" w:tentative="0">
      <w:start w:val="4"/>
      <w:numFmt w:val="chineseCounting"/>
      <w:suff w:val="nothing"/>
      <w:lvlText w:val="%1、"/>
      <w:lvlJc w:val="left"/>
      <w:rPr>
        <w:rFonts w:hint="eastAsia"/>
      </w:rPr>
    </w:lvl>
  </w:abstractNum>
  <w:abstractNum w:abstractNumId="2">
    <w:nsid w:val="FE5E2FEA"/>
    <w:multiLevelType w:val="singleLevel"/>
    <w:tmpl w:val="FE5E2FEA"/>
    <w:lvl w:ilvl="0" w:tentative="0">
      <w:start w:val="2"/>
      <w:numFmt w:val="chineseCounting"/>
      <w:suff w:val="nothing"/>
      <w:lvlText w:val="（%1）"/>
      <w:lvlJc w:val="left"/>
      <w:rPr>
        <w:rFonts w:hint="eastAsia"/>
      </w:rPr>
    </w:lvl>
  </w:abstractNum>
  <w:abstractNum w:abstractNumId="3">
    <w:nsid w:val="3179F951"/>
    <w:multiLevelType w:val="singleLevel"/>
    <w:tmpl w:val="3179F951"/>
    <w:lvl w:ilvl="0" w:tentative="0">
      <w:start w:val="7"/>
      <w:numFmt w:val="chineseCounting"/>
      <w:suff w:val="nothing"/>
      <w:lvlText w:val="%1、"/>
      <w:lvlJc w:val="left"/>
      <w:rPr>
        <w:rFonts w:hint="eastAsia"/>
      </w:rPr>
    </w:lvl>
  </w:abstractNum>
  <w:abstractNum w:abstractNumId="4">
    <w:nsid w:val="6EB32FC5"/>
    <w:multiLevelType w:val="singleLevel"/>
    <w:tmpl w:val="6EB32FC5"/>
    <w:lvl w:ilvl="0" w:tentative="0">
      <w:start w:val="1"/>
      <w:numFmt w:val="chineseCounting"/>
      <w:suff w:val="space"/>
      <w:lvlText w:val="第%1条"/>
      <w:lvlJc w:val="left"/>
      <w:rPr>
        <w:rFonts w:hint="eastAsia"/>
      </w:r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M5NzkyN2Y0ZmNkZDBlYzdjZTRiYTJmMTBjZmEyMDMifQ=="/>
  </w:docVars>
  <w:rsids>
    <w:rsidRoot w:val="00000000"/>
    <w:rsid w:val="01F807EE"/>
    <w:rsid w:val="04DC4303"/>
    <w:rsid w:val="076462B7"/>
    <w:rsid w:val="08E34BBB"/>
    <w:rsid w:val="092F5670"/>
    <w:rsid w:val="0B254F95"/>
    <w:rsid w:val="0B957346"/>
    <w:rsid w:val="0D3F6642"/>
    <w:rsid w:val="14EC7604"/>
    <w:rsid w:val="16CC1621"/>
    <w:rsid w:val="17C34E23"/>
    <w:rsid w:val="197D71E0"/>
    <w:rsid w:val="1AB3214F"/>
    <w:rsid w:val="1B6B7632"/>
    <w:rsid w:val="1F4433A4"/>
    <w:rsid w:val="202077D2"/>
    <w:rsid w:val="203902BE"/>
    <w:rsid w:val="20621A95"/>
    <w:rsid w:val="221A7114"/>
    <w:rsid w:val="252B7557"/>
    <w:rsid w:val="2ADE61BC"/>
    <w:rsid w:val="2C3A38C6"/>
    <w:rsid w:val="2EC4391B"/>
    <w:rsid w:val="34D760F5"/>
    <w:rsid w:val="385E4BA2"/>
    <w:rsid w:val="388277AF"/>
    <w:rsid w:val="391643BE"/>
    <w:rsid w:val="3E1332CB"/>
    <w:rsid w:val="45865C90"/>
    <w:rsid w:val="46FC64BC"/>
    <w:rsid w:val="4E242C3A"/>
    <w:rsid w:val="4EA05DD8"/>
    <w:rsid w:val="51330760"/>
    <w:rsid w:val="56E52951"/>
    <w:rsid w:val="5B9D3742"/>
    <w:rsid w:val="5E2E6F45"/>
    <w:rsid w:val="61E208D8"/>
    <w:rsid w:val="62C610B8"/>
    <w:rsid w:val="681B47A4"/>
    <w:rsid w:val="68614B5C"/>
    <w:rsid w:val="73D94D40"/>
    <w:rsid w:val="7C856AA9"/>
    <w:rsid w:val="7E527B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Heading #2|1"/>
    <w:basedOn w:val="1"/>
    <w:qFormat/>
    <w:uiPriority w:val="0"/>
    <w:pPr>
      <w:widowControl w:val="0"/>
      <w:shd w:val="clear" w:color="auto" w:fill="auto"/>
      <w:spacing w:before="300" w:after="330" w:line="300" w:lineRule="auto"/>
      <w:jc w:val="center"/>
      <w:outlineLvl w:val="1"/>
    </w:pPr>
    <w:rPr>
      <w:rFonts w:ascii="宋体" w:hAnsi="宋体" w:eastAsia="宋体" w:cs="宋体"/>
      <w:sz w:val="40"/>
      <w:szCs w:val="40"/>
      <w:u w:val="none"/>
      <w:shd w:val="clear" w:color="auto" w:fill="auto"/>
      <w:lang w:val="zh-TW" w:eastAsia="zh-TW" w:bidi="zh-TW"/>
    </w:rPr>
  </w:style>
  <w:style w:type="paragraph" w:customStyle="1" w:styleId="8">
    <w:name w:val="Body text|1"/>
    <w:basedOn w:val="1"/>
    <w:qFormat/>
    <w:uiPriority w:val="0"/>
    <w:pPr>
      <w:widowControl w:val="0"/>
      <w:shd w:val="clear" w:color="auto" w:fill="auto"/>
      <w:spacing w:line="442" w:lineRule="auto"/>
      <w:ind w:firstLine="400"/>
    </w:pPr>
    <w:rPr>
      <w:rFonts w:ascii="宋体" w:hAnsi="宋体" w:eastAsia="宋体" w:cs="宋体"/>
      <w:sz w:val="28"/>
      <w:szCs w:val="28"/>
      <w:u w:val="none"/>
      <w:shd w:val="clear" w:color="auto" w:fill="auto"/>
      <w:lang w:val="zh-TW" w:eastAsia="zh-TW" w:bidi="zh-TW"/>
    </w:rPr>
  </w:style>
  <w:style w:type="paragraph" w:customStyle="1" w:styleId="9">
    <w:name w:val="列出段落1"/>
    <w:basedOn w:val="1"/>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宋体"/>
      <w:kern w:val="2"/>
      <w:sz w:val="21"/>
      <w:szCs w:val="22"/>
      <w:lang w:val="en-US" w:eastAsia="zh-CN" w:bidi="ar"/>
    </w:rPr>
  </w:style>
  <w:style w:type="table" w:customStyle="1" w:styleId="10">
    <w:name w:val="TableGri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1" Type="http://schemas.openxmlformats.org/officeDocument/2006/relationships/font" Target="fonts/font11.odttf"/><Relationship Id="rId10" Type="http://schemas.openxmlformats.org/officeDocument/2006/relationships/font" Target="fonts/font10.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47</Pages>
  <Words>19784</Words>
  <Characters>20512</Characters>
  <Lines>0</Lines>
  <Paragraphs>0</Paragraphs>
  <TotalTime>17</TotalTime>
  <ScaleCrop>false</ScaleCrop>
  <LinksUpToDate>false</LinksUpToDate>
  <CharactersWithSpaces>20634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2025-03-24T07:42:00Z</dcterms:created>
  <dc:creator>pjb16</dc:creator>
  <cp:lastModifiedBy>李悦楠</cp:lastModifiedBy>
  <cp:lastPrinted>2025-06-04T01:13:00Z</cp:lastPrinted>
  <dcterms:modified xsi:type="dcterms:W3CDTF">2025-06-17T01:14:20Z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KSOTemplateDocerSaveRecord">
    <vt:lpwstr>eyJoZGlkIjoiNDMyYmFjNWY1YjI0MTc4MmZhMDljNWVmNzU0NDg4YzQiLCJ1c2VySWQiOiIyNTYzMTQ1MDEifQ==</vt:lpwstr>
  </property>
  <property fmtid="{D5CDD505-2E9C-101B-9397-08002B2CF9AE}" pid="4" name="ICV">
    <vt:lpwstr>492721A057F34EBD909C466854CAC0C0_13</vt:lpwstr>
  </property>
</Properties>
</file>