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内蒙古艺术学院校级一流本科专业建设点评审指标体系</w:t>
      </w:r>
    </w:p>
    <w:tbl>
      <w:tblPr>
        <w:tblStyle w:val="5"/>
        <w:tblW w:w="10213" w:type="dxa"/>
        <w:tblInd w:w="-9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5337"/>
        <w:gridCol w:w="852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8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一级指标</w:t>
            </w:r>
          </w:p>
        </w:tc>
        <w:tc>
          <w:tcPr>
            <w:tcW w:w="198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二 级 指 标</w:t>
            </w:r>
          </w:p>
        </w:tc>
        <w:tc>
          <w:tcPr>
            <w:tcW w:w="5337" w:type="dxa"/>
            <w:tcBorders>
              <w:bottom w:val="doub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评   审   内   容   与   标   准</w:t>
            </w:r>
          </w:p>
        </w:tc>
        <w:tc>
          <w:tcPr>
            <w:tcW w:w="852" w:type="dxa"/>
            <w:tcBorders>
              <w:left w:val="thickThinSmallGap" w:color="auto" w:sz="12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二级指标满分</w:t>
            </w:r>
          </w:p>
        </w:tc>
        <w:tc>
          <w:tcPr>
            <w:tcW w:w="85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一级指标满分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188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（一）</w:t>
            </w:r>
          </w:p>
          <w:p>
            <w:pPr>
              <w:spacing w:line="0" w:lineRule="atLeast"/>
              <w:ind w:left="-42" w:leftChars="-20" w:right="-63" w:rightChars="-30"/>
              <w:jc w:val="center"/>
              <w:rPr>
                <w:rFonts w:hint="eastAsia" w:ascii="仿宋_GB2312" w:eastAsia="仿宋_GB2312"/>
                <w:b/>
                <w:bCs/>
                <w:spacing w:val="-4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18"/>
                <w:szCs w:val="18"/>
              </w:rPr>
              <w:t>专业定位</w:t>
            </w:r>
          </w:p>
        </w:tc>
        <w:tc>
          <w:tcPr>
            <w:tcW w:w="1980" w:type="dxa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1.1 专业定位明确</w:t>
            </w:r>
          </w:p>
        </w:tc>
        <w:tc>
          <w:tcPr>
            <w:tcW w:w="5337" w:type="dxa"/>
            <w:tcBorders>
              <w:top w:val="double" w:color="auto" w:sz="4" w:space="0"/>
              <w:right w:val="thickThinSmallGap" w:color="auto" w:sz="12" w:space="0"/>
            </w:tcBorders>
            <w:vAlign w:val="center"/>
          </w:tcPr>
          <w:p>
            <w:pPr>
              <w:pStyle w:val="2"/>
              <w:spacing w:line="0" w:lineRule="atLeas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专业符合学校办学定位与办学方向；具有鲜明办学特色。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有明确的服务面向和人才需求，有相应的学科依托。</w:t>
            </w:r>
          </w:p>
        </w:tc>
        <w:tc>
          <w:tcPr>
            <w:tcW w:w="852" w:type="dxa"/>
            <w:tcBorders>
              <w:top w:val="double" w:color="auto" w:sz="4" w:space="0"/>
              <w:left w:val="thickThinSmallGap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4分</w:t>
            </w:r>
          </w:p>
        </w:tc>
        <w:tc>
          <w:tcPr>
            <w:tcW w:w="85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88" w:type="dxa"/>
            <w:vMerge w:val="continue"/>
            <w:tcBorders>
              <w:bottom w:val="doub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doub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1.2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专业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建设规划</w:t>
            </w:r>
          </w:p>
        </w:tc>
        <w:tc>
          <w:tcPr>
            <w:tcW w:w="5337" w:type="dxa"/>
            <w:tcBorders>
              <w:bottom w:val="doub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专业建设规划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思路清晰，目标明确，科学合理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；专业建设措施得力，成效明显。</w:t>
            </w:r>
          </w:p>
        </w:tc>
        <w:tc>
          <w:tcPr>
            <w:tcW w:w="852" w:type="dxa"/>
            <w:tcBorders>
              <w:left w:val="thickThinSmallGap" w:color="auto" w:sz="12" w:space="0"/>
              <w:bottom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6分</w:t>
            </w:r>
          </w:p>
        </w:tc>
        <w:tc>
          <w:tcPr>
            <w:tcW w:w="85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188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（二）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专业管理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.1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专业管理规范</w:t>
            </w:r>
          </w:p>
        </w:tc>
        <w:tc>
          <w:tcPr>
            <w:tcW w:w="5337" w:type="dxa"/>
            <w:tcBorders>
              <w:top w:val="doub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有专业配套管理制度，教育教学管理规范，近三年未出现重大安全事故。</w:t>
            </w:r>
          </w:p>
        </w:tc>
        <w:tc>
          <w:tcPr>
            <w:tcW w:w="852" w:type="dxa"/>
            <w:tcBorders>
              <w:top w:val="double" w:color="auto" w:sz="4" w:space="0"/>
              <w:left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4分</w:t>
            </w:r>
          </w:p>
        </w:tc>
        <w:tc>
          <w:tcPr>
            <w:tcW w:w="85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.2 人才培养方案</w:t>
            </w:r>
          </w:p>
        </w:tc>
        <w:tc>
          <w:tcPr>
            <w:tcW w:w="5337" w:type="dxa"/>
            <w:tcBorders>
              <w:top w:val="single" w:color="auto" w:sz="4" w:space="0"/>
              <w:bottom w:val="doub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落实</w:t>
            </w:r>
            <w:r>
              <w:rPr>
                <w:rFonts w:ascii="仿宋_GB2312" w:hAnsi="宋体" w:eastAsia="仿宋_GB2312"/>
                <w:sz w:val="18"/>
                <w:szCs w:val="18"/>
              </w:rPr>
              <w:t>本科专业国家标准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，</w:t>
            </w:r>
            <w:r>
              <w:rPr>
                <w:rFonts w:ascii="仿宋_GB2312" w:hAnsi="宋体" w:eastAsia="仿宋_GB2312"/>
                <w:sz w:val="18"/>
                <w:szCs w:val="18"/>
              </w:rPr>
              <w:t>有完善的培养方案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；</w:t>
            </w:r>
            <w:r>
              <w:rPr>
                <w:rFonts w:ascii="仿宋_GB2312" w:hAnsi="宋体" w:eastAsia="仿宋_GB2312"/>
                <w:sz w:val="18"/>
                <w:szCs w:val="18"/>
              </w:rPr>
              <w:t>能够依据专业发展定位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sz w:val="18"/>
                <w:szCs w:val="18"/>
              </w:rPr>
              <w:t>专业人才社会需求变化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，定期修订人才培养方案。</w:t>
            </w:r>
          </w:p>
        </w:tc>
        <w:tc>
          <w:tcPr>
            <w:tcW w:w="852" w:type="dxa"/>
            <w:tcBorders>
              <w:top w:val="single" w:color="auto" w:sz="4" w:space="0"/>
              <w:left w:val="thickThinSmallGap" w:color="auto" w:sz="12" w:space="0"/>
              <w:bottom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6分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8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（三）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改革成效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.1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课程建设</w:t>
            </w:r>
          </w:p>
        </w:tc>
        <w:tc>
          <w:tcPr>
            <w:tcW w:w="5337" w:type="dxa"/>
            <w:tcBorders>
              <w:top w:val="doub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规划科学合理，持续深化教育教学改革，教育理念先进，教学内容及时更新，方法手段不断创新，开展建设线上线下混合式金课建设，成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效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明显。</w:t>
            </w:r>
          </w:p>
        </w:tc>
        <w:tc>
          <w:tcPr>
            <w:tcW w:w="852" w:type="dxa"/>
            <w:tcBorders>
              <w:top w:val="double" w:color="auto" w:sz="4" w:space="0"/>
              <w:left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ascii="仿宋_GB2312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eastAsia="仿宋_GB2312"/>
                <w:sz w:val="18"/>
                <w:szCs w:val="18"/>
              </w:rPr>
              <w:t>分</w:t>
            </w:r>
          </w:p>
        </w:tc>
        <w:tc>
          <w:tcPr>
            <w:tcW w:w="85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sz w:val="18"/>
                <w:szCs w:val="18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.2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教材建设</w:t>
            </w:r>
          </w:p>
        </w:tc>
        <w:tc>
          <w:tcPr>
            <w:tcW w:w="5337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本专业教师主编或参编有较高水平的教材，实践指导用书完备，能够选用全国公认水平较高的教材。</w:t>
            </w:r>
          </w:p>
        </w:tc>
        <w:tc>
          <w:tcPr>
            <w:tcW w:w="852" w:type="dxa"/>
            <w:tcBorders>
              <w:top w:val="single" w:color="auto" w:sz="4" w:space="0"/>
              <w:left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  <w:r>
              <w:rPr>
                <w:rFonts w:hint="eastAsia" w:ascii="仿宋_GB2312" w:eastAsia="仿宋_GB2312"/>
                <w:sz w:val="18"/>
                <w:szCs w:val="18"/>
              </w:rPr>
              <w:t>分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 xml:space="preserve">3.3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教学研究与改革</w:t>
            </w:r>
          </w:p>
        </w:tc>
        <w:tc>
          <w:tcPr>
            <w:tcW w:w="5337" w:type="dxa"/>
            <w:tcBorders>
              <w:top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有具体工作计划、配套措施有力，执行良好；教师参与教学研究与改革的积极性高，改革成效明显。近三年改革成效突出，具有一定改革成果。</w:t>
            </w:r>
          </w:p>
        </w:tc>
        <w:tc>
          <w:tcPr>
            <w:tcW w:w="852" w:type="dxa"/>
            <w:tcBorders>
              <w:top w:val="single" w:color="auto" w:sz="4" w:space="0"/>
              <w:left w:val="thickThinSmallGap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ascii="仿宋_GB2312" w:eastAsia="仿宋_GB2312"/>
                <w:sz w:val="18"/>
                <w:szCs w:val="18"/>
              </w:rPr>
              <w:t>0</w:t>
            </w:r>
            <w:r>
              <w:rPr>
                <w:rFonts w:hint="eastAsia" w:ascii="仿宋_GB2312" w:eastAsia="仿宋_GB2312"/>
                <w:sz w:val="18"/>
                <w:szCs w:val="18"/>
              </w:rPr>
              <w:t>分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188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（四）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师资队伍</w:t>
            </w:r>
          </w:p>
        </w:tc>
        <w:tc>
          <w:tcPr>
            <w:tcW w:w="1980" w:type="dxa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.1 专业负责人</w:t>
            </w:r>
          </w:p>
        </w:tc>
        <w:tc>
          <w:tcPr>
            <w:tcW w:w="5337" w:type="dxa"/>
            <w:tcBorders>
              <w:top w:val="doub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专业负责人具有副高级专业技术职务，学术水平较高；熟悉本学科专业领域发展态势，具有较高学术造诣和学术水平，在同行业中有一定知名度。</w:t>
            </w:r>
          </w:p>
        </w:tc>
        <w:tc>
          <w:tcPr>
            <w:tcW w:w="852" w:type="dxa"/>
            <w:tcBorders>
              <w:top w:val="double" w:color="auto" w:sz="4" w:space="0"/>
              <w:left w:val="thickThinSmallGap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eastAsia="仿宋_GB2312"/>
                <w:sz w:val="18"/>
                <w:szCs w:val="18"/>
              </w:rPr>
              <w:t>分</w:t>
            </w:r>
          </w:p>
        </w:tc>
        <w:tc>
          <w:tcPr>
            <w:tcW w:w="85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eastAsia="仿宋_GB2312"/>
                <w:sz w:val="18"/>
                <w:szCs w:val="18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.2 专业教师团队</w:t>
            </w:r>
          </w:p>
        </w:tc>
        <w:tc>
          <w:tcPr>
            <w:tcW w:w="5337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专业教师总数满足教学要求，专业教学团队结构合理，发展趋势良好，整体素质水平较高。</w:t>
            </w:r>
            <w:bookmarkStart w:id="0" w:name="_GoBack"/>
            <w:bookmarkEnd w:id="0"/>
          </w:p>
        </w:tc>
        <w:tc>
          <w:tcPr>
            <w:tcW w:w="852" w:type="dxa"/>
            <w:tcBorders>
              <w:left w:val="thickThinSmallGap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eastAsia="仿宋_GB2312"/>
                <w:sz w:val="18"/>
                <w:szCs w:val="18"/>
              </w:rPr>
              <w:t>分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pacing w:val="-4"/>
                <w:sz w:val="18"/>
                <w:szCs w:val="18"/>
              </w:rPr>
            </w:pPr>
            <w:r>
              <w:rPr>
                <w:rFonts w:ascii="仿宋_GB2312" w:hAnsi="宋体" w:eastAsia="仿宋_GB2312"/>
                <w:spacing w:val="-4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/>
                <w:spacing w:val="-4"/>
                <w:sz w:val="18"/>
                <w:szCs w:val="18"/>
              </w:rPr>
              <w:t>.</w:t>
            </w:r>
            <w:r>
              <w:rPr>
                <w:rFonts w:ascii="仿宋_GB2312" w:hAnsi="宋体" w:eastAsia="仿宋_GB2312"/>
                <w:spacing w:val="-4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/>
                <w:spacing w:val="-4"/>
                <w:sz w:val="18"/>
                <w:szCs w:val="18"/>
              </w:rPr>
              <w:t xml:space="preserve"> 教师教学与科研能力</w:t>
            </w:r>
          </w:p>
        </w:tc>
        <w:tc>
          <w:tcPr>
            <w:tcW w:w="5337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教师具有较高的教学水平和较强的科研能力，承担一定数量的科研任务，能够广泛开展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教研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活动，对教学形成良好支撑。</w:t>
            </w:r>
          </w:p>
        </w:tc>
        <w:tc>
          <w:tcPr>
            <w:tcW w:w="852" w:type="dxa"/>
            <w:tcBorders>
              <w:left w:val="thickThinSmallGap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eastAsia="仿宋_GB2312"/>
                <w:sz w:val="18"/>
                <w:szCs w:val="18"/>
              </w:rPr>
              <w:t>分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188" w:type="dxa"/>
            <w:vMerge w:val="continue"/>
            <w:tcBorders>
              <w:bottom w:val="doub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doub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.</w:t>
            </w: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实验实践教师队伍</w:t>
            </w:r>
          </w:p>
        </w:tc>
        <w:tc>
          <w:tcPr>
            <w:tcW w:w="5337" w:type="dxa"/>
            <w:tcBorders>
              <w:bottom w:val="doub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实验与实践教师队伍结构合理，满足实验实践教学要求。</w:t>
            </w:r>
          </w:p>
        </w:tc>
        <w:tc>
          <w:tcPr>
            <w:tcW w:w="852" w:type="dxa"/>
            <w:tcBorders>
              <w:left w:val="thickThinSmallGap" w:color="auto" w:sz="12" w:space="0"/>
              <w:bottom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分</w:t>
            </w:r>
          </w:p>
        </w:tc>
        <w:tc>
          <w:tcPr>
            <w:tcW w:w="85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188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（五）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培养质量与保障体系</w:t>
            </w:r>
          </w:p>
        </w:tc>
        <w:tc>
          <w:tcPr>
            <w:tcW w:w="1980" w:type="dxa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.1 人才培养质量</w:t>
            </w:r>
          </w:p>
        </w:tc>
        <w:tc>
          <w:tcPr>
            <w:tcW w:w="5337" w:type="dxa"/>
            <w:tcBorders>
              <w:top w:val="doub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坚持以学生为中心，促进学生全面发展，有效激发学生学习兴趣和潜能，增强创新精神、</w:t>
            </w:r>
            <w:r>
              <w:rPr>
                <w:rFonts w:ascii="仿宋_GB2312" w:hAnsi="宋体" w:eastAsia="仿宋_GB2312"/>
                <w:sz w:val="18"/>
                <w:szCs w:val="18"/>
              </w:rPr>
              <w:t>实践能力和社会责任感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，</w:t>
            </w:r>
            <w:r>
              <w:rPr>
                <w:rFonts w:ascii="仿宋_GB2312" w:hAnsi="宋体" w:eastAsia="仿宋_GB2312"/>
                <w:sz w:val="18"/>
                <w:szCs w:val="18"/>
              </w:rPr>
              <w:t>毕业生行业认可度高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sz w:val="18"/>
                <w:szCs w:val="18"/>
              </w:rPr>
              <w:t>社会整体评价好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。</w:t>
            </w:r>
          </w:p>
        </w:tc>
        <w:tc>
          <w:tcPr>
            <w:tcW w:w="852" w:type="dxa"/>
            <w:tcBorders>
              <w:top w:val="double" w:color="auto" w:sz="4" w:space="0"/>
              <w:left w:val="thickThinSmallGap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18"/>
                <w:szCs w:val="18"/>
              </w:rPr>
              <w:t>分</w:t>
            </w:r>
          </w:p>
        </w:tc>
        <w:tc>
          <w:tcPr>
            <w:tcW w:w="85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sz w:val="18"/>
                <w:szCs w:val="18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.2 质量保障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与监控</w:t>
            </w:r>
          </w:p>
        </w:tc>
        <w:tc>
          <w:tcPr>
            <w:tcW w:w="5337" w:type="dxa"/>
            <w:tcBorders>
              <w:right w:val="thickThinSmallGap" w:color="auto" w:sz="12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本专业有较为完善的内部质量监控机制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，管理制度健全，落实到位；</w:t>
            </w:r>
            <w:r>
              <w:rPr>
                <w:rFonts w:ascii="仿宋_GB2312" w:hAnsi="宋体" w:eastAsia="仿宋_GB2312"/>
                <w:sz w:val="18"/>
                <w:szCs w:val="18"/>
              </w:rPr>
              <w:t>对各主要教学环节有明确的质量要求和过程监控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，</w:t>
            </w:r>
            <w:r>
              <w:rPr>
                <w:rFonts w:ascii="仿宋_GB2312" w:hAnsi="宋体" w:eastAsia="仿宋_GB2312"/>
                <w:sz w:val="18"/>
                <w:szCs w:val="18"/>
              </w:rPr>
              <w:t>并能够定期进行质量评价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。教学质量监控体系科学、完善，运行有效，效果好。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专业建有毕业生跟踪反馈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sz w:val="18"/>
                <w:szCs w:val="18"/>
              </w:rPr>
              <w:t>用人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单位</w:t>
            </w:r>
            <w:r>
              <w:rPr>
                <w:rFonts w:ascii="仿宋_GB2312" w:hAnsi="宋体" w:eastAsia="仿宋_GB2312"/>
                <w:sz w:val="18"/>
                <w:szCs w:val="18"/>
              </w:rPr>
              <w:t>满意度调查等外部评价机制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，</w:t>
            </w:r>
            <w:r>
              <w:rPr>
                <w:rFonts w:ascii="仿宋_GB2312" w:hAnsi="宋体" w:eastAsia="仿宋_GB2312"/>
                <w:sz w:val="18"/>
                <w:szCs w:val="18"/>
              </w:rPr>
              <w:t>能够对培养目标的达成情况进行评价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。</w:t>
            </w:r>
          </w:p>
        </w:tc>
        <w:tc>
          <w:tcPr>
            <w:tcW w:w="852" w:type="dxa"/>
            <w:tcBorders>
              <w:left w:val="thickThinSmallGap" w:color="auto" w:sz="12" w:space="0"/>
              <w:bottom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18"/>
                <w:szCs w:val="18"/>
              </w:rPr>
              <w:t>分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021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注：总分为1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00分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，本评审指标体系为参照打分依据。</w:t>
            </w: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kOTFjNTc0YWQ3NjVmNThiNTYyOTgzODMwMDhhNTAifQ=="/>
  </w:docVars>
  <w:rsids>
    <w:rsidRoot w:val="00655BE6"/>
    <w:rsid w:val="00074C35"/>
    <w:rsid w:val="002A24B9"/>
    <w:rsid w:val="002E3BF9"/>
    <w:rsid w:val="0033696F"/>
    <w:rsid w:val="0041689E"/>
    <w:rsid w:val="004D5F2B"/>
    <w:rsid w:val="00655BE6"/>
    <w:rsid w:val="006B1755"/>
    <w:rsid w:val="00D133B6"/>
    <w:rsid w:val="00DF7D70"/>
    <w:rsid w:val="00EC7982"/>
    <w:rsid w:val="00FF6483"/>
    <w:rsid w:val="01CC0CB0"/>
    <w:rsid w:val="11133746"/>
    <w:rsid w:val="385E748C"/>
    <w:rsid w:val="3FC353C4"/>
    <w:rsid w:val="5CD15474"/>
    <w:rsid w:val="63D4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965</Words>
  <Characters>1002</Characters>
  <Lines>8</Lines>
  <Paragraphs>2</Paragraphs>
  <TotalTime>4</TotalTime>
  <ScaleCrop>false</ScaleCrop>
  <LinksUpToDate>false</LinksUpToDate>
  <CharactersWithSpaces>1036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2019-06-09T09:17:00Z</dcterms:created>
  <dc:creator>Windows 用户</dc:creator>
  <cp:lastModifiedBy>金小超</cp:lastModifiedBy>
  <dcterms:modified xsi:type="dcterms:W3CDTF">2022-05-20T08:39:43Z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289CE29307B047CDAF4A72356A6F7037</vt:lpwstr>
  </property>
</Properties>
</file>