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624" w:beforeLines="200" w:after="312" w:afterLines="100" w:line="360" w:lineRule="auto"/>
        <w:jc w:val="center"/>
        <w:rPr>
          <w:rFonts w:hint="eastAsia" w:ascii="宋体" w:cs="宋体"/>
          <w:b/>
          <w:bCs/>
          <w:color w:val="auto"/>
          <w:kern w:val="0"/>
          <w:sz w:val="44"/>
          <w:szCs w:val="44"/>
          <w:highlight w:val="none"/>
          <w:lang w:val="zh-CN"/>
        </w:rPr>
      </w:pPr>
      <w:bookmarkStart w:id="0" w:name="_GoBack"/>
      <w:bookmarkEnd w:id="0"/>
    </w:p>
    <w:p>
      <w:pPr>
        <w:autoSpaceDE w:val="0"/>
        <w:autoSpaceDN w:val="0"/>
        <w:adjustRightInd w:val="0"/>
        <w:spacing w:before="624" w:beforeLines="200" w:after="312" w:afterLines="100" w:line="360" w:lineRule="auto"/>
        <w:jc w:val="center"/>
        <w:rPr>
          <w:rFonts w:hint="eastAsia" w:ascii="宋体" w:cs="宋体"/>
          <w:b/>
          <w:bCs/>
          <w:color w:val="auto"/>
          <w:kern w:val="0"/>
          <w:sz w:val="44"/>
          <w:szCs w:val="44"/>
          <w:highlight w:val="none"/>
          <w:lang w:val="zh-CN"/>
        </w:rPr>
      </w:pPr>
    </w:p>
    <w:p>
      <w:pPr>
        <w:autoSpaceDE w:val="0"/>
        <w:autoSpaceDN w:val="0"/>
        <w:adjustRightInd w:val="0"/>
        <w:spacing w:before="624" w:beforeLines="200" w:after="312" w:afterLines="100" w:line="360" w:lineRule="auto"/>
        <w:jc w:val="center"/>
        <w:rPr>
          <w:rFonts w:hint="eastAsia" w:ascii="华文中宋" w:eastAsia="华文中宋" w:cs="宋体"/>
          <w:b/>
          <w:bCs/>
          <w:color w:val="auto"/>
          <w:kern w:val="0"/>
          <w:sz w:val="44"/>
          <w:szCs w:val="44"/>
          <w:highlight w:val="none"/>
          <w:lang w:val="zh-CN"/>
        </w:rPr>
      </w:pPr>
      <w:r>
        <w:rPr>
          <w:rFonts w:hint="eastAsia" w:ascii="华文中宋" w:eastAsia="华文中宋" w:cs="宋体"/>
          <w:b/>
          <w:bCs/>
          <w:color w:val="auto"/>
          <w:kern w:val="0"/>
          <w:sz w:val="44"/>
          <w:szCs w:val="44"/>
          <w:highlight w:val="none"/>
          <w:lang w:val="zh-CN"/>
        </w:rPr>
        <w:t>201</w:t>
      </w:r>
      <w:r>
        <w:rPr>
          <w:rFonts w:hint="eastAsia" w:ascii="华文中宋" w:eastAsia="华文中宋" w:cs="宋体"/>
          <w:b/>
          <w:bCs/>
          <w:color w:val="auto"/>
          <w:kern w:val="0"/>
          <w:sz w:val="44"/>
          <w:szCs w:val="44"/>
          <w:highlight w:val="none"/>
          <w:lang w:val="en-US" w:eastAsia="zh-CN"/>
        </w:rPr>
        <w:t>9-2020学</w:t>
      </w:r>
      <w:r>
        <w:rPr>
          <w:rFonts w:hint="eastAsia" w:ascii="华文中宋" w:eastAsia="华文中宋" w:cs="宋体"/>
          <w:b/>
          <w:bCs/>
          <w:color w:val="auto"/>
          <w:kern w:val="0"/>
          <w:sz w:val="44"/>
          <w:szCs w:val="44"/>
          <w:highlight w:val="none"/>
          <w:lang w:val="zh-CN"/>
        </w:rPr>
        <w:t>年内蒙古自治区高等教育质量报告</w:t>
      </w:r>
    </w:p>
    <w:p>
      <w:pPr>
        <w:autoSpaceDE w:val="0"/>
        <w:autoSpaceDN w:val="0"/>
        <w:adjustRightInd w:val="0"/>
        <w:spacing w:before="156" w:beforeLines="50" w:after="156" w:afterLines="50" w:line="360" w:lineRule="auto"/>
        <w:jc w:val="center"/>
        <w:rPr>
          <w:rFonts w:hint="eastAsia" w:ascii="华文中宋" w:eastAsia="华文中宋" w:cs="宋体"/>
          <w:b/>
          <w:bCs/>
          <w:color w:val="auto"/>
          <w:kern w:val="0"/>
          <w:sz w:val="44"/>
          <w:szCs w:val="44"/>
          <w:highlight w:val="none"/>
          <w:lang w:val="zh-CN"/>
        </w:rPr>
      </w:pPr>
      <w:r>
        <w:rPr>
          <w:rFonts w:hint="eastAsia" w:ascii="华文中宋" w:eastAsia="华文中宋" w:cs="宋体"/>
          <w:b/>
          <w:bCs/>
          <w:color w:val="auto"/>
          <w:kern w:val="0"/>
          <w:sz w:val="44"/>
          <w:szCs w:val="44"/>
          <w:highlight w:val="none"/>
          <w:lang w:val="zh-CN"/>
        </w:rPr>
        <w:t>撰写工作材料汇编（本科）</w:t>
      </w: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rPr>
          <w:rFonts w:hint="eastAsia" w:ascii="宋体" w:cs="宋体"/>
          <w:b/>
          <w:bCs/>
          <w:color w:val="auto"/>
          <w:kern w:val="0"/>
          <w:sz w:val="32"/>
          <w:szCs w:val="32"/>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28"/>
          <w:szCs w:val="28"/>
          <w:highlight w:val="none"/>
          <w:lang w:val="zh-CN"/>
        </w:rPr>
      </w:pPr>
      <w:r>
        <w:rPr>
          <w:rFonts w:hint="eastAsia" w:ascii="宋体" w:cs="宋体"/>
          <w:b/>
          <w:bCs/>
          <w:color w:val="auto"/>
          <w:kern w:val="0"/>
          <w:sz w:val="28"/>
          <w:szCs w:val="28"/>
          <w:highlight w:val="none"/>
          <w:lang w:val="zh-CN"/>
        </w:rPr>
        <w:t xml:space="preserve">  内蒙古高等教育质量报告工作领导小组办公室</w:t>
      </w:r>
    </w:p>
    <w:p>
      <w:pPr>
        <w:autoSpaceDE w:val="0"/>
        <w:autoSpaceDN w:val="0"/>
        <w:adjustRightInd w:val="0"/>
        <w:spacing w:before="156" w:beforeLines="50" w:after="156" w:afterLines="50" w:line="360" w:lineRule="auto"/>
        <w:jc w:val="center"/>
        <w:rPr>
          <w:rFonts w:hint="eastAsia" w:ascii="宋体" w:cs="宋体"/>
          <w:b/>
          <w:bCs/>
          <w:color w:val="auto"/>
          <w:kern w:val="0"/>
          <w:sz w:val="28"/>
          <w:szCs w:val="28"/>
          <w:highlight w:val="none"/>
          <w:lang w:val="zh-CN"/>
        </w:rPr>
      </w:pPr>
      <w:r>
        <w:rPr>
          <w:rFonts w:hint="eastAsia" w:ascii="宋体" w:cs="宋体"/>
          <w:b/>
          <w:bCs/>
          <w:color w:val="auto"/>
          <w:kern w:val="0"/>
          <w:sz w:val="28"/>
          <w:szCs w:val="28"/>
          <w:highlight w:val="none"/>
          <w:lang w:val="zh-CN"/>
        </w:rPr>
        <w:t>二〇二〇年</w:t>
      </w:r>
      <w:r>
        <w:rPr>
          <w:rFonts w:hint="eastAsia" w:ascii="宋体" w:cs="宋体"/>
          <w:b/>
          <w:bCs/>
          <w:color w:val="auto"/>
          <w:kern w:val="0"/>
          <w:sz w:val="28"/>
          <w:szCs w:val="28"/>
          <w:highlight w:val="none"/>
          <w:lang w:val="zh-CN" w:eastAsia="zh-CN"/>
        </w:rPr>
        <w:t>九</w:t>
      </w:r>
      <w:r>
        <w:rPr>
          <w:rFonts w:hint="eastAsia" w:ascii="宋体" w:cs="宋体"/>
          <w:b/>
          <w:bCs/>
          <w:color w:val="auto"/>
          <w:kern w:val="0"/>
          <w:sz w:val="28"/>
          <w:szCs w:val="28"/>
          <w:highlight w:val="none"/>
          <w:lang w:val="zh-CN"/>
        </w:rPr>
        <w:t>月</w:t>
      </w:r>
    </w:p>
    <w:p>
      <w:pPr>
        <w:autoSpaceDE w:val="0"/>
        <w:autoSpaceDN w:val="0"/>
        <w:adjustRightInd w:val="0"/>
        <w:spacing w:before="156" w:beforeLines="50" w:after="156" w:afterLines="50" w:line="360" w:lineRule="auto"/>
        <w:jc w:val="center"/>
        <w:rPr>
          <w:rFonts w:hint="eastAsia" w:ascii="宋体" w:cs="宋体"/>
          <w:b/>
          <w:bCs/>
          <w:color w:val="auto"/>
          <w:kern w:val="0"/>
          <w:sz w:val="28"/>
          <w:szCs w:val="28"/>
          <w:highlight w:val="none"/>
          <w:lang w:val="zh-CN"/>
        </w:rPr>
      </w:pPr>
    </w:p>
    <w:p>
      <w:pPr>
        <w:autoSpaceDE w:val="0"/>
        <w:autoSpaceDN w:val="0"/>
        <w:adjustRightInd w:val="0"/>
        <w:spacing w:before="156" w:beforeLines="50" w:after="156" w:afterLines="50" w:line="360" w:lineRule="auto"/>
        <w:jc w:val="center"/>
        <w:rPr>
          <w:rFonts w:hint="eastAsia" w:ascii="宋体" w:cs="宋体"/>
          <w:b/>
          <w:bCs/>
          <w:color w:val="auto"/>
          <w:kern w:val="0"/>
          <w:sz w:val="24"/>
          <w:szCs w:val="24"/>
          <w:highlight w:val="none"/>
          <w:lang w:val="zh-CN"/>
        </w:rPr>
      </w:pPr>
    </w:p>
    <w:p>
      <w:pPr>
        <w:spacing w:before="312" w:beforeLines="100" w:after="468" w:afterLines="150"/>
        <w:jc w:val="center"/>
        <w:rPr>
          <w:rFonts w:hint="eastAsia" w:ascii="宋体" w:cs="宋体"/>
          <w:b/>
          <w:bCs/>
          <w:color w:val="auto"/>
          <w:kern w:val="0"/>
          <w:sz w:val="36"/>
          <w:szCs w:val="36"/>
          <w:highlight w:val="none"/>
          <w:lang w:val="zh-CN"/>
        </w:rPr>
        <w:sectPr>
          <w:footerReference r:id="rId5" w:type="first"/>
          <w:footerReference r:id="rId3" w:type="default"/>
          <w:footerReference r:id="rId4" w:type="even"/>
          <w:pgSz w:w="11906" w:h="16838"/>
          <w:pgMar w:top="1417" w:right="1418" w:bottom="1417" w:left="1418"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spacing w:before="312" w:beforeLines="100" w:after="468" w:afterLines="150"/>
        <w:jc w:val="center"/>
        <w:rPr>
          <w:rFonts w:hint="eastAsia" w:ascii="宋体" w:cs="宋体"/>
          <w:b/>
          <w:bCs/>
          <w:color w:val="auto"/>
          <w:kern w:val="0"/>
          <w:sz w:val="36"/>
          <w:szCs w:val="36"/>
          <w:highlight w:val="none"/>
          <w:lang w:val="zh-CN"/>
        </w:rPr>
      </w:pPr>
      <w:r>
        <w:rPr>
          <w:rFonts w:hint="eastAsia" w:ascii="宋体" w:cs="宋体"/>
          <w:b/>
          <w:bCs/>
          <w:color w:val="auto"/>
          <w:kern w:val="0"/>
          <w:sz w:val="36"/>
          <w:szCs w:val="36"/>
          <w:highlight w:val="none"/>
          <w:lang w:val="zh-CN"/>
        </w:rPr>
        <w:t>目  录</w:t>
      </w:r>
    </w:p>
    <w:p>
      <w:pPr>
        <w:autoSpaceDE w:val="0"/>
        <w:autoSpaceDN w:val="0"/>
        <w:adjustRightInd w:val="0"/>
        <w:snapToGrid w:val="0"/>
        <w:spacing w:before="312" w:beforeLines="100" w:after="156" w:afterLines="50"/>
        <w:jc w:val="distribute"/>
        <w:rPr>
          <w:rFonts w:hint="eastAsia" w:ascii="仿宋_GB2312" w:eastAsia="仿宋_GB2312"/>
          <w:b/>
          <w:color w:val="auto"/>
          <w:sz w:val="28"/>
          <w:szCs w:val="28"/>
          <w:highlight w:val="none"/>
        </w:rPr>
      </w:pPr>
    </w:p>
    <w:p>
      <w:pPr>
        <w:numPr>
          <w:ilvl w:val="0"/>
          <w:numId w:val="0"/>
        </w:numPr>
        <w:autoSpaceDE w:val="0"/>
        <w:autoSpaceDN w:val="0"/>
        <w:adjustRightInd w:val="0"/>
        <w:snapToGrid w:val="0"/>
        <w:spacing w:before="312" w:beforeLines="100" w:after="156" w:afterLines="50"/>
        <w:jc w:val="left"/>
        <w:rPr>
          <w:rFonts w:hint="eastAsia" w:ascii="仿宋_GB2312" w:eastAsia="仿宋_GB2312"/>
          <w:b/>
          <w:color w:val="auto"/>
          <w:sz w:val="28"/>
          <w:szCs w:val="28"/>
          <w:highlight w:val="none"/>
          <w:lang w:val="en-US" w:eastAsia="zh-CN"/>
        </w:rPr>
      </w:pPr>
      <w:r>
        <w:rPr>
          <w:rFonts w:hint="eastAsia" w:ascii="仿宋_GB2312" w:eastAsia="仿宋_GB2312" w:cs="宋体"/>
          <w:bCs/>
          <w:color w:val="auto"/>
          <w:kern w:val="0"/>
          <w:sz w:val="28"/>
          <w:szCs w:val="28"/>
          <w:highlight w:val="none"/>
        </w:rPr>
        <w:t>关于普通高等学校编制发布20</w:t>
      </w:r>
      <w:r>
        <w:rPr>
          <w:rFonts w:hint="eastAsia" w:ascii="仿宋_GB2312" w:eastAsia="仿宋_GB2312" w:cs="宋体"/>
          <w:bCs/>
          <w:color w:val="auto"/>
          <w:kern w:val="0"/>
          <w:sz w:val="28"/>
          <w:szCs w:val="28"/>
          <w:highlight w:val="none"/>
          <w:lang w:val="en-US" w:eastAsia="zh-CN"/>
        </w:rPr>
        <w:t>19</w:t>
      </w:r>
      <w:r>
        <w:rPr>
          <w:rFonts w:hint="eastAsia" w:ascii="仿宋_GB2312" w:eastAsia="仿宋_GB2312" w:cs="宋体"/>
          <w:bCs/>
          <w:color w:val="auto"/>
          <w:kern w:val="0"/>
          <w:sz w:val="28"/>
          <w:szCs w:val="28"/>
          <w:highlight w:val="none"/>
        </w:rPr>
        <w:t>-20</w:t>
      </w:r>
      <w:r>
        <w:rPr>
          <w:rFonts w:hint="eastAsia" w:ascii="仿宋_GB2312" w:eastAsia="仿宋_GB2312" w:cs="宋体"/>
          <w:bCs/>
          <w:color w:val="auto"/>
          <w:kern w:val="0"/>
          <w:sz w:val="28"/>
          <w:szCs w:val="28"/>
          <w:highlight w:val="none"/>
          <w:lang w:val="en-US" w:eastAsia="zh-CN"/>
        </w:rPr>
        <w:t>20</w:t>
      </w:r>
      <w:r>
        <w:rPr>
          <w:rFonts w:hint="eastAsia" w:ascii="仿宋_GB2312" w:eastAsia="仿宋_GB2312" w:cs="宋体"/>
          <w:bCs/>
          <w:color w:val="auto"/>
          <w:kern w:val="0"/>
          <w:sz w:val="28"/>
          <w:szCs w:val="28"/>
          <w:highlight w:val="none"/>
        </w:rPr>
        <w:t>学年本科教学质量报告的通知（国教督办函</w:t>
      </w:r>
      <w:r>
        <w:rPr>
          <w:rFonts w:hint="eastAsia" w:ascii="仿宋" w:hAnsi="仿宋" w:eastAsia="仿宋"/>
          <w:color w:val="auto"/>
          <w:sz w:val="28"/>
          <w:szCs w:val="28"/>
          <w:highlight w:val="none"/>
        </w:rPr>
        <w:t>〔</w:t>
      </w:r>
      <w:r>
        <w:rPr>
          <w:rFonts w:hint="eastAsia" w:ascii="仿宋_GB2312" w:eastAsia="仿宋_GB2312"/>
          <w:color w:val="auto"/>
          <w:sz w:val="28"/>
          <w:szCs w:val="28"/>
          <w:highlight w:val="none"/>
        </w:rPr>
        <w:t>20</w:t>
      </w:r>
      <w:r>
        <w:rPr>
          <w:rFonts w:hint="eastAsia" w:ascii="仿宋_GB2312" w:eastAsia="仿宋_GB2312"/>
          <w:color w:val="auto"/>
          <w:sz w:val="28"/>
          <w:szCs w:val="28"/>
          <w:highlight w:val="none"/>
          <w:lang w:val="en-US" w:eastAsia="zh-CN"/>
        </w:rPr>
        <w:t>20</w:t>
      </w:r>
      <w:r>
        <w:rPr>
          <w:rFonts w:hint="eastAsia" w:ascii="仿宋" w:hAnsi="仿宋" w:eastAsia="仿宋"/>
          <w:color w:val="auto"/>
          <w:sz w:val="28"/>
          <w:szCs w:val="28"/>
          <w:highlight w:val="none"/>
        </w:rPr>
        <w:t>〕</w:t>
      </w:r>
      <w:r>
        <w:rPr>
          <w:rFonts w:hint="eastAsia" w:ascii="仿宋_GB2312" w:eastAsia="仿宋_GB2312"/>
          <w:color w:val="auto"/>
          <w:sz w:val="28"/>
          <w:szCs w:val="28"/>
          <w:highlight w:val="none"/>
          <w:lang w:val="en-US" w:eastAsia="zh-CN"/>
        </w:rPr>
        <w:t>42</w:t>
      </w:r>
      <w:r>
        <w:rPr>
          <w:rFonts w:hint="eastAsia" w:ascii="仿宋_GB2312" w:eastAsia="仿宋_GB2312"/>
          <w:color w:val="auto"/>
          <w:sz w:val="28"/>
          <w:szCs w:val="28"/>
          <w:highlight w:val="none"/>
        </w:rPr>
        <w:t>号）</w:t>
      </w:r>
      <w:r>
        <w:rPr>
          <w:rFonts w:hint="eastAsia" w:ascii="仿宋_GB2312" w:eastAsia="仿宋_GB2312"/>
          <w:color w:val="auto"/>
          <w:spacing w:val="4"/>
          <w:sz w:val="28"/>
          <w:szCs w:val="28"/>
          <w:highlight w:val="none"/>
        </w:rPr>
        <w:t>………………………………………………………</w:t>
      </w:r>
      <w:r>
        <w:rPr>
          <w:rFonts w:hint="eastAsia" w:ascii="仿宋_GB2312" w:eastAsia="仿宋_GB2312"/>
          <w:b/>
          <w:color w:val="auto"/>
          <w:sz w:val="28"/>
          <w:szCs w:val="28"/>
          <w:highlight w:val="none"/>
          <w:lang w:val="en-US" w:eastAsia="zh-CN"/>
        </w:rPr>
        <w:t>1</w:t>
      </w:r>
    </w:p>
    <w:p>
      <w:pPr>
        <w:numPr>
          <w:ilvl w:val="0"/>
          <w:numId w:val="0"/>
        </w:numPr>
        <w:autoSpaceDE w:val="0"/>
        <w:autoSpaceDN w:val="0"/>
        <w:adjustRightInd w:val="0"/>
        <w:snapToGrid w:val="0"/>
        <w:spacing w:before="312" w:beforeLines="100" w:after="156" w:afterLines="50"/>
        <w:jc w:val="distribute"/>
        <w:rPr>
          <w:rFonts w:hint="eastAsia" w:ascii="仿宋_GB2312" w:eastAsia="仿宋_GB2312"/>
          <w:b/>
          <w:color w:val="auto"/>
          <w:sz w:val="28"/>
          <w:szCs w:val="28"/>
          <w:highlight w:val="none"/>
          <w:lang w:val="en-US" w:eastAsia="zh-CN"/>
        </w:rPr>
      </w:pPr>
      <w:r>
        <w:rPr>
          <w:rFonts w:hint="eastAsia" w:ascii="仿宋_GB2312" w:eastAsia="仿宋_GB2312"/>
          <w:color w:val="auto"/>
          <w:sz w:val="28"/>
          <w:szCs w:val="28"/>
          <w:highlight w:val="none"/>
        </w:rPr>
        <w:t>关于做好</w:t>
      </w:r>
      <w:r>
        <w:rPr>
          <w:rFonts w:hint="eastAsia" w:ascii="仿宋_GB2312" w:eastAsia="仿宋_GB2312"/>
          <w:color w:val="auto"/>
          <w:sz w:val="28"/>
          <w:szCs w:val="28"/>
          <w:highlight w:val="none"/>
          <w:lang w:eastAsia="zh-CN"/>
        </w:rPr>
        <w:t>2019-2020</w:t>
      </w:r>
      <w:r>
        <w:rPr>
          <w:rFonts w:hint="eastAsia" w:ascii="仿宋_GB2312" w:eastAsia="仿宋_GB2312"/>
          <w:color w:val="auto"/>
          <w:sz w:val="28"/>
          <w:szCs w:val="28"/>
          <w:highlight w:val="none"/>
          <w:lang w:val="en-US" w:eastAsia="zh-CN"/>
        </w:rPr>
        <w:t>学</w:t>
      </w:r>
      <w:r>
        <w:rPr>
          <w:rFonts w:hint="eastAsia" w:ascii="仿宋_GB2312" w:eastAsia="仿宋_GB2312"/>
          <w:color w:val="auto"/>
          <w:sz w:val="28"/>
          <w:szCs w:val="28"/>
          <w:highlight w:val="none"/>
        </w:rPr>
        <w:t>年高等教育质量报告工作的通知</w:t>
      </w:r>
      <w:r>
        <w:rPr>
          <w:rFonts w:hint="eastAsia" w:ascii="仿宋_GB2312" w:eastAsia="仿宋_GB2312"/>
          <w:color w:val="auto"/>
          <w:spacing w:val="4"/>
          <w:sz w:val="28"/>
          <w:szCs w:val="28"/>
          <w:highlight w:val="none"/>
        </w:rPr>
        <w:t>…………………</w:t>
      </w:r>
      <w:r>
        <w:rPr>
          <w:rFonts w:hint="eastAsia" w:ascii="仿宋_GB2312" w:eastAsia="仿宋_GB2312"/>
          <w:b/>
          <w:color w:val="auto"/>
          <w:sz w:val="28"/>
          <w:szCs w:val="28"/>
          <w:highlight w:val="none"/>
        </w:rPr>
        <w:t>1</w:t>
      </w:r>
      <w:r>
        <w:rPr>
          <w:rFonts w:hint="eastAsia" w:ascii="仿宋_GB2312" w:eastAsia="仿宋_GB2312"/>
          <w:b/>
          <w:color w:val="auto"/>
          <w:sz w:val="28"/>
          <w:szCs w:val="28"/>
          <w:highlight w:val="none"/>
          <w:lang w:val="en-US" w:eastAsia="zh-CN"/>
        </w:rPr>
        <w:t>0</w:t>
      </w:r>
    </w:p>
    <w:p>
      <w:pPr>
        <w:autoSpaceDE w:val="0"/>
        <w:autoSpaceDN w:val="0"/>
        <w:adjustRightInd w:val="0"/>
        <w:snapToGrid w:val="0"/>
        <w:spacing w:before="312" w:beforeLines="100" w:after="156" w:afterLines="50"/>
        <w:jc w:val="distribute"/>
        <w:rPr>
          <w:rFonts w:hint="default" w:ascii="仿宋_GB2312" w:eastAsia="仿宋_GB2312"/>
          <w:b/>
          <w:color w:val="auto"/>
          <w:spacing w:val="4"/>
          <w:sz w:val="28"/>
          <w:szCs w:val="28"/>
          <w:highlight w:val="none"/>
          <w:lang w:val="en-US" w:eastAsia="zh-CN"/>
        </w:rPr>
      </w:pPr>
      <w:r>
        <w:rPr>
          <w:rFonts w:hint="eastAsia" w:ascii="仿宋_GB2312" w:eastAsia="仿宋_GB2312" w:cs="宋体"/>
          <w:bCs/>
          <w:color w:val="auto"/>
          <w:spacing w:val="4"/>
          <w:kern w:val="0"/>
          <w:sz w:val="28"/>
          <w:szCs w:val="28"/>
          <w:highlight w:val="none"/>
          <w:lang w:val="zh-CN"/>
        </w:rPr>
        <w:t>××大学（学院）本科教学质量报告支撑数据表格……</w:t>
      </w:r>
      <w:r>
        <w:rPr>
          <w:rFonts w:hint="eastAsia" w:ascii="仿宋_GB2312" w:eastAsia="仿宋_GB2312"/>
          <w:color w:val="auto"/>
          <w:spacing w:val="4"/>
          <w:sz w:val="28"/>
          <w:szCs w:val="28"/>
          <w:highlight w:val="none"/>
        </w:rPr>
        <w:t>………………</w:t>
      </w:r>
      <w:r>
        <w:rPr>
          <w:rFonts w:hint="eastAsia" w:ascii="仿宋_GB2312" w:eastAsia="仿宋_GB2312"/>
          <w:b/>
          <w:color w:val="auto"/>
          <w:spacing w:val="4"/>
          <w:sz w:val="28"/>
          <w:szCs w:val="28"/>
          <w:highlight w:val="none"/>
          <w:lang w:val="en-US" w:eastAsia="zh-CN"/>
        </w:rPr>
        <w:t>16</w:t>
      </w:r>
    </w:p>
    <w:p>
      <w:pPr>
        <w:autoSpaceDE w:val="0"/>
        <w:autoSpaceDN w:val="0"/>
        <w:adjustRightInd w:val="0"/>
        <w:snapToGrid w:val="0"/>
        <w:spacing w:before="312" w:beforeLines="100" w:after="156" w:afterLines="50"/>
        <w:jc w:val="distribute"/>
        <w:rPr>
          <w:rFonts w:hint="eastAsia" w:ascii="仿宋_GB2312" w:eastAsia="仿宋_GB2312"/>
          <w:b/>
          <w:color w:val="auto"/>
          <w:sz w:val="28"/>
          <w:szCs w:val="28"/>
          <w:highlight w:val="none"/>
        </w:rPr>
      </w:pPr>
      <w:r>
        <w:rPr>
          <w:rFonts w:hint="eastAsia" w:ascii="仿宋_GB2312" w:eastAsia="仿宋_GB2312" w:cs="宋体"/>
          <w:bCs/>
          <w:color w:val="auto"/>
          <w:kern w:val="0"/>
          <w:sz w:val="28"/>
          <w:szCs w:val="28"/>
          <w:highlight w:val="none"/>
          <w:lang w:val="zh-CN"/>
        </w:rPr>
        <w:t>××本科教学质量报告支</w:t>
      </w:r>
      <w:r>
        <w:rPr>
          <w:rFonts w:hint="eastAsia" w:ascii="仿宋_GB2312" w:eastAsia="仿宋_GB2312" w:cs="宋体"/>
          <w:bCs/>
          <w:color w:val="auto"/>
          <w:spacing w:val="2"/>
          <w:kern w:val="0"/>
          <w:sz w:val="28"/>
          <w:szCs w:val="28"/>
          <w:highlight w:val="none"/>
          <w:lang w:val="zh-CN"/>
        </w:rPr>
        <w:t>撑数据表格填写说明……</w:t>
      </w:r>
      <w:r>
        <w:rPr>
          <w:rFonts w:hint="eastAsia" w:ascii="仿宋_GB2312" w:eastAsia="仿宋_GB2312"/>
          <w:color w:val="auto"/>
          <w:spacing w:val="2"/>
          <w:sz w:val="28"/>
          <w:szCs w:val="28"/>
          <w:highlight w:val="none"/>
        </w:rPr>
        <w:t>………………</w:t>
      </w:r>
      <w:r>
        <w:rPr>
          <w:rFonts w:hint="eastAsia" w:ascii="仿宋_GB2312" w:eastAsia="仿宋_GB2312"/>
          <w:color w:val="auto"/>
          <w:spacing w:val="4"/>
          <w:sz w:val="28"/>
          <w:szCs w:val="28"/>
          <w:highlight w:val="none"/>
        </w:rPr>
        <w:t>……</w:t>
      </w:r>
      <w:r>
        <w:rPr>
          <w:rFonts w:hint="eastAsia" w:ascii="仿宋_GB2312" w:eastAsia="仿宋_GB2312"/>
          <w:b/>
          <w:color w:val="auto"/>
          <w:sz w:val="28"/>
          <w:szCs w:val="28"/>
          <w:highlight w:val="none"/>
        </w:rPr>
        <w:t>2</w:t>
      </w:r>
      <w:r>
        <w:rPr>
          <w:rFonts w:hint="eastAsia" w:ascii="仿宋_GB2312" w:eastAsia="仿宋_GB2312"/>
          <w:b/>
          <w:color w:val="auto"/>
          <w:sz w:val="28"/>
          <w:szCs w:val="28"/>
          <w:highlight w:val="none"/>
          <w:lang w:val="en-US" w:eastAsia="zh-CN"/>
        </w:rPr>
        <w:t>3</w:t>
      </w:r>
    </w:p>
    <w:p>
      <w:pPr>
        <w:autoSpaceDE w:val="0"/>
        <w:autoSpaceDN w:val="0"/>
        <w:adjustRightInd w:val="0"/>
        <w:snapToGrid w:val="0"/>
        <w:spacing w:before="312" w:beforeLines="100" w:after="156" w:afterLines="50"/>
        <w:jc w:val="distribute"/>
        <w:rPr>
          <w:rFonts w:hint="eastAsia" w:ascii="仿宋_GB2312" w:eastAsia="仿宋_GB2312"/>
          <w:b/>
          <w:color w:val="auto"/>
          <w:sz w:val="28"/>
          <w:szCs w:val="28"/>
          <w:highlight w:val="none"/>
        </w:rPr>
      </w:pPr>
      <w:r>
        <w:rPr>
          <w:rFonts w:hint="eastAsia" w:ascii="仿宋_GB2312" w:eastAsia="仿宋_GB2312" w:cs="宋体"/>
          <w:bCs/>
          <w:color w:val="auto"/>
          <w:kern w:val="0"/>
          <w:sz w:val="28"/>
          <w:szCs w:val="28"/>
          <w:highlight w:val="none"/>
          <w:lang w:val="zh-CN"/>
        </w:rPr>
        <w:t>××大学（学院）质量工程项目汇总表……</w:t>
      </w:r>
      <w:r>
        <w:rPr>
          <w:rFonts w:hint="eastAsia" w:ascii="仿宋_GB2312" w:eastAsia="仿宋_GB2312"/>
          <w:color w:val="auto"/>
          <w:sz w:val="28"/>
          <w:szCs w:val="28"/>
          <w:highlight w:val="none"/>
        </w:rPr>
        <w:t>……………………………</w:t>
      </w:r>
      <w:r>
        <w:rPr>
          <w:rFonts w:hint="eastAsia" w:ascii="仿宋_GB2312" w:eastAsia="仿宋_GB2312"/>
          <w:b/>
          <w:color w:val="auto"/>
          <w:sz w:val="28"/>
          <w:szCs w:val="28"/>
          <w:highlight w:val="none"/>
          <w:lang w:val="en-US" w:eastAsia="zh-CN"/>
        </w:rPr>
        <w:t>26</w:t>
      </w:r>
    </w:p>
    <w:p>
      <w:pPr>
        <w:autoSpaceDE w:val="0"/>
        <w:autoSpaceDN w:val="0"/>
        <w:adjustRightInd w:val="0"/>
        <w:snapToGrid w:val="0"/>
        <w:spacing w:before="312" w:beforeLines="100" w:after="156" w:afterLines="50"/>
        <w:jc w:val="distribute"/>
        <w:rPr>
          <w:rFonts w:hint="default" w:ascii="仿宋_GB2312" w:eastAsia="仿宋_GB2312"/>
          <w:b/>
          <w:color w:val="auto"/>
          <w:sz w:val="28"/>
          <w:szCs w:val="28"/>
          <w:highlight w:val="none"/>
          <w:lang w:val="en-US" w:eastAsia="zh-CN"/>
        </w:rPr>
      </w:pPr>
      <w:r>
        <w:rPr>
          <w:rFonts w:hint="eastAsia" w:ascii="仿宋_GB2312" w:eastAsia="仿宋_GB2312" w:cs="宋体"/>
          <w:bCs/>
          <w:color w:val="auto"/>
          <w:kern w:val="0"/>
          <w:sz w:val="28"/>
          <w:szCs w:val="28"/>
          <w:highlight w:val="none"/>
          <w:lang w:val="zh-CN"/>
        </w:rPr>
        <w:t>××大学（学院）学科建设情况汇总表…</w:t>
      </w:r>
      <w:r>
        <w:rPr>
          <w:rFonts w:hint="eastAsia" w:ascii="仿宋_GB2312" w:eastAsia="仿宋_GB2312"/>
          <w:color w:val="auto"/>
          <w:sz w:val="28"/>
          <w:szCs w:val="28"/>
          <w:highlight w:val="none"/>
        </w:rPr>
        <w:t>………………………………</w:t>
      </w:r>
      <w:r>
        <w:rPr>
          <w:rFonts w:hint="eastAsia" w:ascii="仿宋_GB2312" w:eastAsia="仿宋_GB2312"/>
          <w:b/>
          <w:color w:val="auto"/>
          <w:sz w:val="28"/>
          <w:szCs w:val="28"/>
          <w:highlight w:val="none"/>
          <w:lang w:val="en-US" w:eastAsia="zh-CN"/>
        </w:rPr>
        <w:t>27</w:t>
      </w:r>
    </w:p>
    <w:p>
      <w:pPr>
        <w:autoSpaceDE w:val="0"/>
        <w:autoSpaceDN w:val="0"/>
        <w:adjustRightInd w:val="0"/>
        <w:snapToGrid w:val="0"/>
        <w:spacing w:line="520" w:lineRule="atLeast"/>
        <w:rPr>
          <w:rFonts w:hint="eastAsia" w:ascii="仿宋_GB2312" w:eastAsia="仿宋_GB2312" w:cs="宋体"/>
          <w:bCs/>
          <w:color w:val="auto"/>
          <w:kern w:val="0"/>
          <w:sz w:val="28"/>
          <w:szCs w:val="28"/>
          <w:highlight w:val="none"/>
          <w:lang w:val="zh-CN"/>
        </w:rPr>
      </w:pPr>
    </w:p>
    <w:p>
      <w:pPr>
        <w:autoSpaceDE w:val="0"/>
        <w:autoSpaceDN w:val="0"/>
        <w:adjustRightInd w:val="0"/>
        <w:snapToGrid w:val="0"/>
        <w:spacing w:line="520" w:lineRule="atLeast"/>
        <w:rPr>
          <w:rFonts w:hint="eastAsia" w:ascii="仿宋_GB2312" w:eastAsia="仿宋_GB2312" w:cs="宋体"/>
          <w:bCs/>
          <w:color w:val="auto"/>
          <w:kern w:val="0"/>
          <w:sz w:val="28"/>
          <w:szCs w:val="28"/>
          <w:highlight w:val="none"/>
          <w:lang w:val="zh-CN"/>
        </w:rPr>
      </w:pPr>
    </w:p>
    <w:p>
      <w:pPr>
        <w:autoSpaceDE w:val="0"/>
        <w:autoSpaceDN w:val="0"/>
        <w:adjustRightInd w:val="0"/>
        <w:snapToGrid w:val="0"/>
        <w:spacing w:line="520" w:lineRule="atLeast"/>
        <w:rPr>
          <w:rFonts w:hint="eastAsia" w:ascii="仿宋_GB2312" w:eastAsia="仿宋_GB2312" w:cs="宋体"/>
          <w:bCs/>
          <w:color w:val="auto"/>
          <w:kern w:val="0"/>
          <w:sz w:val="28"/>
          <w:szCs w:val="28"/>
          <w:highlight w:val="none"/>
          <w:lang w:val="zh-CN"/>
        </w:rPr>
      </w:pPr>
    </w:p>
    <w:p>
      <w:pPr>
        <w:autoSpaceDE w:val="0"/>
        <w:autoSpaceDN w:val="0"/>
        <w:adjustRightInd w:val="0"/>
        <w:snapToGrid w:val="0"/>
        <w:spacing w:line="520" w:lineRule="atLeast"/>
        <w:rPr>
          <w:rFonts w:hint="eastAsia" w:ascii="仿宋_GB2312" w:eastAsia="仿宋_GB2312" w:cs="宋体"/>
          <w:bCs/>
          <w:color w:val="auto"/>
          <w:kern w:val="0"/>
          <w:sz w:val="28"/>
          <w:szCs w:val="28"/>
          <w:highlight w:val="none"/>
          <w:lang w:val="zh-CN"/>
        </w:rPr>
        <w:sectPr>
          <w:footerReference r:id="rId7" w:type="first"/>
          <w:footerReference r:id="rId6" w:type="default"/>
          <w:pgSz w:w="11906" w:h="16838"/>
          <w:pgMar w:top="1417" w:right="1418" w:bottom="1417" w:left="141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before="120" w:beforeLines="50" w:after="240" w:afterLines="100" w:line="360" w:lineRule="auto"/>
        <w:jc w:val="center"/>
        <w:rPr>
          <w:rFonts w:ascii="宋体" w:cs="宋体"/>
          <w:b/>
          <w:color w:val="auto"/>
          <w:kern w:val="0"/>
          <w:sz w:val="32"/>
          <w:szCs w:val="32"/>
          <w:highlight w:val="none"/>
        </w:rPr>
      </w:pPr>
      <w:r>
        <w:rPr>
          <w:rFonts w:hint="eastAsia" w:ascii="宋体" w:cs="宋体"/>
          <w:b/>
          <w:color w:val="auto"/>
          <w:kern w:val="0"/>
          <w:sz w:val="32"/>
          <w:szCs w:val="32"/>
          <w:highlight w:val="none"/>
        </w:rPr>
        <w:t>国务院教育督导委员会办公室关于普通高等学校编制发布201</w:t>
      </w:r>
      <w:r>
        <w:rPr>
          <w:rFonts w:hint="eastAsia" w:ascii="宋体" w:cs="宋体"/>
          <w:b/>
          <w:color w:val="auto"/>
          <w:kern w:val="0"/>
          <w:sz w:val="32"/>
          <w:szCs w:val="32"/>
          <w:highlight w:val="none"/>
          <w:lang w:val="en-US" w:eastAsia="zh-CN"/>
        </w:rPr>
        <w:t>9</w:t>
      </w:r>
      <w:r>
        <w:rPr>
          <w:rFonts w:hint="eastAsia" w:ascii="宋体" w:cs="宋体"/>
          <w:b/>
          <w:color w:val="auto"/>
          <w:kern w:val="0"/>
          <w:sz w:val="32"/>
          <w:szCs w:val="32"/>
          <w:highlight w:val="none"/>
        </w:rPr>
        <w:t>-20</w:t>
      </w:r>
      <w:r>
        <w:rPr>
          <w:rFonts w:hint="eastAsia" w:ascii="宋体" w:cs="宋体"/>
          <w:b/>
          <w:color w:val="auto"/>
          <w:kern w:val="0"/>
          <w:sz w:val="32"/>
          <w:szCs w:val="32"/>
          <w:highlight w:val="none"/>
          <w:lang w:val="en-US" w:eastAsia="zh-CN"/>
        </w:rPr>
        <w:t>20</w:t>
      </w:r>
      <w:r>
        <w:rPr>
          <w:rFonts w:hint="eastAsia" w:ascii="宋体" w:cs="宋体"/>
          <w:b/>
          <w:color w:val="auto"/>
          <w:kern w:val="0"/>
          <w:sz w:val="32"/>
          <w:szCs w:val="32"/>
          <w:highlight w:val="none"/>
        </w:rPr>
        <w:t>学年《本科教学质量报告》的通知</w:t>
      </w:r>
    </w:p>
    <w:p>
      <w:pPr>
        <w:adjustRightInd w:val="0"/>
        <w:snapToGrid w:val="0"/>
        <w:spacing w:before="120" w:beforeLines="50" w:after="240" w:afterLines="100" w:line="360" w:lineRule="auto"/>
        <w:jc w:val="center"/>
        <w:rPr>
          <w:rFonts w:ascii="仿宋_GB2312" w:eastAsia="仿宋_GB2312" w:cs="仿宋_GB2312"/>
          <w:vanish/>
          <w:color w:val="auto"/>
          <w:kern w:val="0"/>
          <w:sz w:val="24"/>
          <w:szCs w:val="24"/>
          <w:highlight w:val="none"/>
        </w:rPr>
      </w:pPr>
      <w:r>
        <w:rPr>
          <w:rFonts w:hint="eastAsia" w:ascii="仿宋_GB2312" w:eastAsia="仿宋_GB2312" w:cs="仿宋_GB2312"/>
          <w:bCs/>
          <w:color w:val="auto"/>
          <w:kern w:val="0"/>
          <w:sz w:val="24"/>
          <w:szCs w:val="24"/>
          <w:highlight w:val="none"/>
        </w:rPr>
        <w:t>国教督办函〔20</w:t>
      </w:r>
      <w:r>
        <w:rPr>
          <w:rFonts w:hint="eastAsia" w:ascii="仿宋_GB2312" w:eastAsia="仿宋_GB2312" w:cs="仿宋_GB2312"/>
          <w:bCs/>
          <w:color w:val="auto"/>
          <w:kern w:val="0"/>
          <w:sz w:val="24"/>
          <w:szCs w:val="24"/>
          <w:highlight w:val="none"/>
          <w:lang w:val="en-US" w:eastAsia="zh-CN"/>
        </w:rPr>
        <w:t>20</w:t>
      </w:r>
      <w:r>
        <w:rPr>
          <w:rFonts w:hint="eastAsia" w:ascii="仿宋_GB2312" w:eastAsia="仿宋_GB2312" w:cs="仿宋_GB2312"/>
          <w:bCs/>
          <w:color w:val="auto"/>
          <w:kern w:val="0"/>
          <w:sz w:val="24"/>
          <w:szCs w:val="24"/>
          <w:highlight w:val="none"/>
        </w:rPr>
        <w:t>〕</w:t>
      </w:r>
      <w:r>
        <w:rPr>
          <w:rFonts w:hint="eastAsia" w:ascii="仿宋_GB2312" w:eastAsia="仿宋_GB2312" w:cs="仿宋_GB2312"/>
          <w:bCs/>
          <w:color w:val="auto"/>
          <w:kern w:val="0"/>
          <w:sz w:val="24"/>
          <w:szCs w:val="24"/>
          <w:highlight w:val="none"/>
          <w:lang w:val="en-US" w:eastAsia="zh-CN"/>
        </w:rPr>
        <w:t>42</w:t>
      </w:r>
      <w:r>
        <w:rPr>
          <w:rFonts w:hint="eastAsia" w:ascii="仿宋_GB2312" w:eastAsia="仿宋_GB2312" w:cs="仿宋_GB2312"/>
          <w:bCs/>
          <w:color w:val="auto"/>
          <w:kern w:val="0"/>
          <w:sz w:val="24"/>
          <w:szCs w:val="24"/>
          <w:highlight w:val="none"/>
        </w:rPr>
        <w:t>号</w:t>
      </w:r>
    </w:p>
    <w:p>
      <w:pPr>
        <w:adjustRightInd w:val="0"/>
        <w:snapToGrid w:val="0"/>
        <w:spacing w:before="120" w:beforeLines="50" w:after="240" w:afterLines="100" w:line="360" w:lineRule="auto"/>
        <w:jc w:val="center"/>
        <w:rPr>
          <w:rFonts w:ascii="仿宋_GB2312" w:eastAsia="仿宋_GB2312" w:cs="宋体"/>
          <w:vanish/>
          <w:color w:val="auto"/>
          <w:kern w:val="0"/>
          <w:sz w:val="24"/>
          <w:szCs w:val="24"/>
          <w:highlight w:val="none"/>
        </w:rPr>
      </w:pPr>
    </w:p>
    <w:p>
      <w:pPr>
        <w:adjustRightInd w:val="0"/>
        <w:snapToGrid w:val="0"/>
        <w:spacing w:before="120" w:beforeLines="50" w:after="240" w:afterLines="100" w:line="360" w:lineRule="auto"/>
        <w:jc w:val="center"/>
        <w:rPr>
          <w:rFonts w:ascii="仿宋_GB2312" w:eastAsia="仿宋_GB2312" w:cs="宋体"/>
          <w:color w:val="auto"/>
          <w:kern w:val="0"/>
          <w:sz w:val="24"/>
          <w:szCs w:val="24"/>
          <w:highlight w:val="none"/>
        </w:rPr>
      </w:pPr>
    </w:p>
    <w:p>
      <w:pPr>
        <w:widowControl/>
        <w:adjustRightInd w:val="0"/>
        <w:snapToGrid w:val="0"/>
        <w:spacing w:line="360" w:lineRule="auto"/>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各省、自治区、直辖市教育厅（教委），新疆生产建设兵团教育局：</w:t>
      </w:r>
    </w:p>
    <w:p>
      <w:pPr>
        <w:pStyle w:val="4"/>
        <w:widowControl/>
        <w:shd w:val="clear" w:color="auto" w:fill="FFFFFF"/>
        <w:spacing w:before="0" w:beforeAutospacing="0" w:after="0" w:afterAutospacing="0" w:line="560" w:lineRule="exact"/>
        <w:ind w:firstLine="560" w:firstLineChars="200"/>
        <w:jc w:val="both"/>
        <w:rPr>
          <w:rFonts w:hint="eastAsia" w:ascii="仿宋_GB2312" w:eastAsia="仿宋_GB2312" w:cs="宋体"/>
          <w:color w:val="auto"/>
          <w:sz w:val="28"/>
          <w:szCs w:val="28"/>
          <w:highlight w:val="none"/>
        </w:rPr>
      </w:pPr>
      <w:r>
        <w:rPr>
          <w:rFonts w:hint="eastAsia" w:ascii="仿宋_GB2312" w:eastAsia="仿宋_GB2312" w:cs="宋体"/>
          <w:color w:val="auto"/>
          <w:sz w:val="28"/>
          <w:szCs w:val="28"/>
          <w:highlight w:val="none"/>
        </w:rPr>
        <w:t>为全面贯彻党的十九大和全国教育大会精神，落实中共中央办公厅、国务院办公厅《关于深化新时代教育督导体制机制改革的意见》(厅字〔20</w:t>
      </w:r>
      <w:r>
        <w:rPr>
          <w:rFonts w:hint="eastAsia" w:ascii="仿宋_GB2312" w:eastAsia="仿宋_GB2312" w:cs="宋体"/>
          <w:color w:val="auto"/>
          <w:sz w:val="28"/>
          <w:szCs w:val="28"/>
          <w:highlight w:val="none"/>
          <w:lang w:val="en-US" w:eastAsia="zh-CN"/>
        </w:rPr>
        <w:t>20</w:t>
      </w:r>
      <w:r>
        <w:rPr>
          <w:rFonts w:hint="eastAsia" w:ascii="仿宋_GB2312" w:eastAsia="仿宋_GB2312" w:cs="宋体"/>
          <w:color w:val="auto"/>
          <w:sz w:val="28"/>
          <w:szCs w:val="28"/>
          <w:highlight w:val="none"/>
        </w:rPr>
        <w:t>〕 1号)要求,推动高校建立完善自我评估制度，健全高校内部质量保障体系，根据教育部有关文件规定，拟继续开展普通高等学校本科教学质量报告编制发布工作，现就有关工作通知如下:</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b/>
          <w:bCs/>
          <w:color w:val="auto"/>
          <w:sz w:val="28"/>
          <w:szCs w:val="28"/>
          <w:highlight w:val="none"/>
        </w:rPr>
        <w:t>一、提高认识。</w:t>
      </w:r>
      <w:r>
        <w:rPr>
          <w:rFonts w:hint="eastAsia" w:ascii="仿宋_GB2312" w:eastAsia="仿宋_GB2312" w:cs="宋体"/>
          <w:color w:val="auto"/>
          <w:sz w:val="28"/>
          <w:szCs w:val="28"/>
          <w:highlight w:val="none"/>
        </w:rPr>
        <w:t>编制发布普通高等学校本科教学质量报告，是教育部《高等学校信息公开事项清单》中的一项重要内容，也是加强高等教育督导评估、实施高等教育教学质量常态监测的重要手段。各省级教育行政部门和普通高等学校要高度重视，全面总结本科教育教学情况，强化人才培养中心地位，健全立德树人落实机制，积极回应社会关切、主动接受社会监督，不断提高教育教学质量。</w:t>
      </w:r>
    </w:p>
    <w:p>
      <w:pPr>
        <w:pStyle w:val="4"/>
        <w:widowControl/>
        <w:shd w:val="clear" w:color="auto" w:fill="FFFFFF"/>
        <w:spacing w:before="0" w:beforeAutospacing="0" w:after="0" w:afterAutospacing="0" w:line="560" w:lineRule="exact"/>
        <w:ind w:firstLine="562" w:firstLineChars="200"/>
        <w:jc w:val="both"/>
        <w:rPr>
          <w:rFonts w:hint="eastAsia" w:ascii="仿宋_GB2312" w:eastAsia="仿宋_GB2312" w:cs="宋体"/>
          <w:color w:val="auto"/>
          <w:sz w:val="28"/>
          <w:szCs w:val="28"/>
          <w:highlight w:val="none"/>
        </w:rPr>
      </w:pPr>
      <w:r>
        <w:rPr>
          <w:rFonts w:hint="eastAsia" w:ascii="仿宋_GB2312" w:eastAsia="仿宋_GB2312" w:cs="宋体"/>
          <w:b/>
          <w:bCs/>
          <w:color w:val="auto"/>
          <w:sz w:val="28"/>
          <w:szCs w:val="28"/>
          <w:highlight w:val="none"/>
        </w:rPr>
        <w:t>二、加强统筹。</w:t>
      </w:r>
      <w:r>
        <w:rPr>
          <w:rFonts w:hint="eastAsia" w:ascii="仿宋_GB2312" w:eastAsia="仿宋_GB2312" w:cs="宋体"/>
          <w:color w:val="auto"/>
          <w:sz w:val="28"/>
          <w:szCs w:val="28"/>
          <w:highlight w:val="none"/>
        </w:rPr>
        <w:t>按照属地化原则，各省级教育行政部门负责组织本省(区、市)域内普通高等学校本科教学质量报告编制发布工作。各省级教育行政部门可结合本地实际，对本科教学质量报告编制基本要求进行适当补充完善，制定有关工作方案，并在有关高校本科教学质量报告的基础上，编制本地区高等学校本科教学质量分析报告。</w:t>
      </w:r>
    </w:p>
    <w:p>
      <w:pPr>
        <w:pStyle w:val="4"/>
        <w:widowControl/>
        <w:shd w:val="clear" w:color="auto" w:fill="FFFFFF"/>
        <w:spacing w:before="0" w:beforeAutospacing="0" w:after="0" w:afterAutospacing="0" w:line="560" w:lineRule="exact"/>
        <w:ind w:firstLine="562" w:firstLineChars="200"/>
        <w:jc w:val="both"/>
        <w:rPr>
          <w:rFonts w:ascii="仿宋_GB2312" w:eastAsia="仿宋_GB2312" w:cs="宋体"/>
          <w:color w:val="auto"/>
          <w:sz w:val="28"/>
          <w:szCs w:val="28"/>
          <w:highlight w:val="none"/>
        </w:rPr>
      </w:pPr>
      <w:r>
        <w:rPr>
          <w:rFonts w:hint="eastAsia" w:ascii="仿宋_GB2312" w:eastAsia="仿宋_GB2312" w:cs="宋体"/>
          <w:b/>
          <w:bCs/>
          <w:color w:val="auto"/>
          <w:sz w:val="28"/>
          <w:szCs w:val="28"/>
          <w:highlight w:val="none"/>
        </w:rPr>
        <w:t>三、及时发布。</w:t>
      </w:r>
      <w:r>
        <w:rPr>
          <w:rFonts w:hint="eastAsia" w:ascii="仿宋_GB2312" w:eastAsia="仿宋_GB2312" w:cs="宋体"/>
          <w:color w:val="auto"/>
          <w:sz w:val="28"/>
          <w:szCs w:val="28"/>
          <w:highlight w:val="none"/>
        </w:rPr>
        <w:t>各省级教育行政部门要指导有关高等学校全面开展本科教学自我评估，部署有关高校按照《普通高等学校2019-2020学年本科教学质量报告基本要求》(见附件1)和《普通高等学校2019-2020学年本科教学质量报告支撑数据目录》(见附件2)，认真编制本校的本科教学质量报告(附支撑数据)，要重点对抗击新冠肺炎疫情期间的本科教育教学方式方法创新进行总结。各校要于</w:t>
      </w:r>
      <w:r>
        <w:rPr>
          <w:rFonts w:hint="eastAsia" w:ascii="仿宋_GB2312" w:eastAsia="仿宋_GB2312" w:cs="宋体"/>
          <w:b/>
          <w:bCs/>
          <w:color w:val="auto"/>
          <w:sz w:val="28"/>
          <w:szCs w:val="28"/>
          <w:highlight w:val="none"/>
          <w:u w:val="single"/>
        </w:rPr>
        <w:t>2020年12月25日</w:t>
      </w:r>
      <w:r>
        <w:rPr>
          <w:rFonts w:hint="eastAsia" w:ascii="仿宋_GB2312" w:eastAsia="仿宋_GB2312" w:cs="宋体"/>
          <w:color w:val="auto"/>
          <w:sz w:val="28"/>
          <w:szCs w:val="28"/>
          <w:highlight w:val="none"/>
        </w:rPr>
        <w:t>起在本校门户网站信息公开专栏，向社会公开发布本科教学质量报告，发布期为1年。</w:t>
      </w:r>
    </w:p>
    <w:p>
      <w:pPr>
        <w:pStyle w:val="4"/>
        <w:widowControl/>
        <w:shd w:val="clear" w:color="auto" w:fill="FFFFFF"/>
        <w:spacing w:before="0" w:beforeAutospacing="0" w:after="0" w:afterAutospacing="0" w:line="560" w:lineRule="exact"/>
        <w:ind w:firstLine="562" w:firstLineChars="200"/>
        <w:jc w:val="both"/>
        <w:rPr>
          <w:rFonts w:hint="eastAsia" w:ascii="仿宋_GB2312" w:eastAsia="仿宋_GB2312" w:cs="宋体"/>
          <w:color w:val="auto"/>
          <w:sz w:val="28"/>
          <w:szCs w:val="28"/>
          <w:highlight w:val="none"/>
        </w:rPr>
      </w:pPr>
      <w:r>
        <w:rPr>
          <w:rFonts w:hint="eastAsia" w:ascii="仿宋_GB2312" w:eastAsia="仿宋_GB2312" w:cs="宋体"/>
          <w:b/>
          <w:bCs/>
          <w:color w:val="auto"/>
          <w:sz w:val="28"/>
          <w:szCs w:val="28"/>
          <w:highlight w:val="none"/>
        </w:rPr>
        <w:t>四、强化监督。</w:t>
      </w:r>
      <w:r>
        <w:rPr>
          <w:rFonts w:hint="eastAsia" w:ascii="仿宋_GB2312" w:eastAsia="仿宋_GB2312" w:cs="宋体"/>
          <w:color w:val="auto"/>
          <w:sz w:val="28"/>
          <w:szCs w:val="28"/>
          <w:highlight w:val="none"/>
        </w:rPr>
        <w:t>各省级教育行政部门要对本省(区、市)域内普通高等学校本科教学质量报告编制发布情况进行监督和审核。我办将对各校本科教学质量报告编制发布情况进行网络复核，主要包括:本科教学质量报告主要内容完备性、支撑数据准确性、编制发布时效性、在学校门户网站信息公开专栏发布情况等，对存在问题的学校将予以监督和公开曝光。</w:t>
      </w:r>
    </w:p>
    <w:p>
      <w:pPr>
        <w:pStyle w:val="4"/>
        <w:widowControl/>
        <w:shd w:val="clear" w:color="auto" w:fill="FFFFFF"/>
        <w:spacing w:before="0" w:beforeAutospacing="0" w:after="0" w:afterAutospacing="0" w:line="560" w:lineRule="exact"/>
        <w:ind w:firstLine="562" w:firstLineChars="200"/>
        <w:jc w:val="both"/>
        <w:rPr>
          <w:rFonts w:hint="eastAsia" w:ascii="仿宋_GB2312" w:eastAsia="仿宋_GB2312" w:cs="宋体"/>
          <w:color w:val="auto"/>
          <w:sz w:val="28"/>
          <w:szCs w:val="28"/>
          <w:highlight w:val="none"/>
        </w:rPr>
      </w:pPr>
      <w:r>
        <w:rPr>
          <w:rFonts w:hint="eastAsia" w:ascii="仿宋_GB2312" w:eastAsia="仿宋_GB2312" w:cs="宋体"/>
          <w:b/>
          <w:bCs/>
          <w:color w:val="auto"/>
          <w:sz w:val="28"/>
          <w:szCs w:val="28"/>
          <w:highlight w:val="none"/>
        </w:rPr>
        <w:t>五、报送材料。</w:t>
      </w:r>
      <w:r>
        <w:rPr>
          <w:rFonts w:hint="eastAsia" w:ascii="仿宋_GB2312" w:eastAsia="仿宋_GB2312" w:cs="宋体"/>
          <w:color w:val="auto"/>
          <w:sz w:val="28"/>
          <w:szCs w:val="28"/>
          <w:highlight w:val="none"/>
          <w:u w:val="single"/>
        </w:rPr>
        <w:t>请各省级教育行政部门于2020年12月31日前，将本省(区、市)普通高等学校本科教学质量分析</w:t>
      </w:r>
      <w:r>
        <w:rPr>
          <w:rFonts w:ascii="宋体" w:hAnsi="宋体" w:eastAsia="宋体" w:cs="宋体"/>
          <w:color w:val="auto"/>
          <w:sz w:val="24"/>
          <w:szCs w:val="24"/>
          <w:highlight w:val="none"/>
          <w:u w:val="single"/>
        </w:rPr>
        <w:t>报告</w:t>
      </w:r>
      <w:r>
        <w:rPr>
          <w:rFonts w:hint="eastAsia" w:ascii="仿宋_GB2312" w:eastAsia="仿宋_GB2312" w:cs="宋体"/>
          <w:color w:val="auto"/>
          <w:sz w:val="28"/>
          <w:szCs w:val="28"/>
          <w:highlight w:val="none"/>
          <w:u w:val="single"/>
        </w:rPr>
        <w:t>、本省(区、市)域内普通高等学校本科教学质量报告(封面盖学校公章)、本省(区、市)域内普通高等学校本科教学质量报告发布情况汇总表(见附件3)报我办。</w:t>
      </w:r>
      <w:r>
        <w:rPr>
          <w:rFonts w:hint="eastAsia" w:ascii="仿宋_GB2312" w:eastAsia="仿宋_GB2312" w:cs="宋体"/>
          <w:color w:val="auto"/>
          <w:sz w:val="28"/>
          <w:szCs w:val="28"/>
          <w:highlight w:val="none"/>
        </w:rPr>
        <w:t>只需材料WORD版电子文档和纸质材料扫描件PDF文档。</w:t>
      </w:r>
      <w:r>
        <w:rPr>
          <w:rFonts w:ascii="宋体" w:hAnsi="宋体" w:eastAsia="宋体" w:cs="宋体"/>
          <w:color w:val="auto"/>
          <w:sz w:val="24"/>
          <w:szCs w:val="24"/>
          <w:highlight w:val="none"/>
        </w:rPr>
        <w:br w:type="textWrapping"/>
      </w:r>
      <w:r>
        <w:rPr>
          <w:rFonts w:hint="eastAsia" w:ascii="宋体" w:hAnsi="宋体" w:cs="宋体"/>
          <w:color w:val="auto"/>
          <w:sz w:val="24"/>
          <w:szCs w:val="24"/>
          <w:highlight w:val="none"/>
          <w:lang w:val="en-US" w:eastAsia="zh-CN"/>
        </w:rPr>
        <w:t xml:space="preserve">                </w:t>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联系人和电话:赵常林，010-66097825</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通讯地址:北京市西城区大木仓胡同37</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邮政编码:100816</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电子邮箱: moepgc@163.com</w:t>
      </w:r>
      <w:r>
        <w:rPr>
          <w:rFonts w:hint="eastAsia" w:ascii="仿宋_GB2312" w:eastAsia="仿宋_GB2312" w:cs="宋体"/>
          <w:color w:val="auto"/>
          <w:sz w:val="28"/>
          <w:szCs w:val="28"/>
          <w:highlight w:val="none"/>
        </w:rPr>
        <w:br w:type="textWrapping"/>
      </w:r>
    </w:p>
    <w:p>
      <w:pPr>
        <w:pStyle w:val="4"/>
        <w:widowControl/>
        <w:shd w:val="clear" w:color="auto" w:fill="FFFFFF"/>
        <w:spacing w:before="0" w:beforeAutospacing="0" w:after="0" w:afterAutospacing="0" w:line="560" w:lineRule="exact"/>
        <w:ind w:firstLine="280" w:firstLineChars="100"/>
        <w:jc w:val="both"/>
        <w:rPr>
          <w:rFonts w:hint="eastAsia" w:ascii="仿宋_GB2312" w:eastAsia="仿宋_GB2312" w:cs="宋体"/>
          <w:color w:val="auto"/>
          <w:sz w:val="28"/>
          <w:szCs w:val="28"/>
          <w:highlight w:val="none"/>
          <w:lang w:eastAsia="zh-CN"/>
        </w:rPr>
      </w:pPr>
      <w:r>
        <w:rPr>
          <w:rFonts w:hint="eastAsia" w:ascii="仿宋_GB2312" w:eastAsia="仿宋_GB2312" w:cs="宋体"/>
          <w:color w:val="auto"/>
          <w:sz w:val="28"/>
          <w:szCs w:val="28"/>
          <w:highlight w:val="none"/>
        </w:rPr>
        <w:t>附件:</w:t>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1.普通高等学校2019-2020学年本科教学质量报告基本要求</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2.普通高等学校2019-2020学年本科教学质量报告支撑数据目录</w:t>
      </w:r>
      <w:r>
        <w:rPr>
          <w:rFonts w:hint="eastAsia" w:ascii="仿宋_GB2312" w:eastAsia="仿宋_GB2312" w:cs="宋体"/>
          <w:color w:val="auto"/>
          <w:sz w:val="28"/>
          <w:szCs w:val="28"/>
          <w:highlight w:val="none"/>
        </w:rPr>
        <w:br w:type="textWrapping"/>
      </w:r>
      <w:r>
        <w:rPr>
          <w:rFonts w:hint="eastAsia" w:ascii="仿宋_GB2312" w:eastAsia="仿宋_GB2312" w:cs="宋体"/>
          <w:color w:val="auto"/>
          <w:sz w:val="28"/>
          <w:szCs w:val="28"/>
          <w:highlight w:val="none"/>
          <w:lang w:val="en-US" w:eastAsia="zh-CN"/>
        </w:rPr>
        <w:t xml:space="preserve">        </w:t>
      </w:r>
      <w:r>
        <w:rPr>
          <w:rFonts w:hint="eastAsia" w:ascii="仿宋_GB2312" w:eastAsia="仿宋_GB2312" w:cs="宋体"/>
          <w:color w:val="auto"/>
          <w:sz w:val="28"/>
          <w:szCs w:val="28"/>
          <w:highlight w:val="none"/>
        </w:rPr>
        <w:t>3.普通高等学校2019-2020学年本科教学质量报告发布情况汇总表</w:t>
      </w:r>
    </w:p>
    <w:p>
      <w:pPr>
        <w:widowControl/>
        <w:adjustRightInd w:val="0"/>
        <w:snapToGrid w:val="0"/>
        <w:spacing w:line="560" w:lineRule="exact"/>
        <w:ind w:right="482"/>
        <w:jc w:val="right"/>
        <w:rPr>
          <w:rFonts w:ascii="仿宋_GB2312" w:eastAsia="仿宋_GB2312" w:cs="宋体"/>
          <w:color w:val="auto"/>
          <w:kern w:val="0"/>
          <w:sz w:val="28"/>
          <w:szCs w:val="28"/>
          <w:highlight w:val="none"/>
        </w:rPr>
      </w:pPr>
    </w:p>
    <w:p>
      <w:pPr>
        <w:widowControl/>
        <w:adjustRightInd w:val="0"/>
        <w:snapToGrid w:val="0"/>
        <w:spacing w:line="560" w:lineRule="exact"/>
        <w:ind w:right="482"/>
        <w:jc w:val="righ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国务院教育督导委员会办公室</w:t>
      </w:r>
    </w:p>
    <w:p>
      <w:pPr>
        <w:widowControl/>
        <w:adjustRightInd w:val="0"/>
        <w:snapToGrid w:val="0"/>
        <w:spacing w:line="560" w:lineRule="exact"/>
        <w:ind w:right="480" w:firstLine="5880" w:firstLineChars="2100"/>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20</w:t>
      </w:r>
      <w:r>
        <w:rPr>
          <w:rFonts w:hint="eastAsia" w:ascii="仿宋_GB2312" w:eastAsia="仿宋_GB2312" w:cs="宋体"/>
          <w:color w:val="auto"/>
          <w:kern w:val="0"/>
          <w:sz w:val="28"/>
          <w:szCs w:val="28"/>
          <w:highlight w:val="none"/>
          <w:lang w:val="en-US" w:eastAsia="zh-CN"/>
        </w:rPr>
        <w:t>20</w:t>
      </w:r>
      <w:r>
        <w:rPr>
          <w:rFonts w:hint="eastAsia" w:ascii="仿宋_GB2312" w:eastAsia="仿宋_GB2312" w:cs="宋体"/>
          <w:color w:val="auto"/>
          <w:kern w:val="0"/>
          <w:sz w:val="28"/>
          <w:szCs w:val="28"/>
          <w:highlight w:val="none"/>
        </w:rPr>
        <w:t>年</w:t>
      </w:r>
      <w:r>
        <w:rPr>
          <w:rFonts w:hint="eastAsia" w:ascii="仿宋_GB2312" w:eastAsia="仿宋_GB2312" w:cs="宋体"/>
          <w:color w:val="auto"/>
          <w:kern w:val="0"/>
          <w:sz w:val="28"/>
          <w:szCs w:val="28"/>
          <w:highlight w:val="none"/>
          <w:lang w:val="en-US" w:eastAsia="zh-CN"/>
        </w:rPr>
        <w:t>9</w:t>
      </w:r>
      <w:r>
        <w:rPr>
          <w:rFonts w:hint="eastAsia" w:ascii="仿宋_GB2312" w:eastAsia="仿宋_GB2312" w:cs="宋体"/>
          <w:color w:val="auto"/>
          <w:kern w:val="0"/>
          <w:sz w:val="28"/>
          <w:szCs w:val="28"/>
          <w:highlight w:val="none"/>
        </w:rPr>
        <w:t>月</w:t>
      </w:r>
      <w:r>
        <w:rPr>
          <w:rFonts w:hint="eastAsia" w:ascii="仿宋_GB2312" w:eastAsia="仿宋_GB2312" w:cs="宋体"/>
          <w:color w:val="auto"/>
          <w:kern w:val="0"/>
          <w:sz w:val="28"/>
          <w:szCs w:val="28"/>
          <w:highlight w:val="none"/>
          <w:lang w:val="en-US" w:eastAsia="zh-CN"/>
        </w:rPr>
        <w:t>15</w:t>
      </w:r>
      <w:r>
        <w:rPr>
          <w:rFonts w:hint="eastAsia" w:ascii="仿宋_GB2312" w:eastAsia="仿宋_GB2312" w:cs="宋体"/>
          <w:color w:val="auto"/>
          <w:kern w:val="0"/>
          <w:sz w:val="28"/>
          <w:szCs w:val="28"/>
          <w:highlight w:val="none"/>
        </w:rPr>
        <w:t>日</w:t>
      </w:r>
    </w:p>
    <w:p>
      <w:pPr>
        <w:widowControl/>
        <w:adjustRightInd w:val="0"/>
        <w:snapToGrid w:val="0"/>
        <w:spacing w:line="560" w:lineRule="exact"/>
        <w:jc w:val="left"/>
        <w:rPr>
          <w:rFonts w:ascii="仿宋_GB2312" w:eastAsia="仿宋_GB2312" w:cs="宋体"/>
          <w:color w:val="auto"/>
          <w:kern w:val="0"/>
          <w:sz w:val="28"/>
          <w:szCs w:val="28"/>
          <w:highlight w:val="none"/>
        </w:rPr>
      </w:pPr>
    </w:p>
    <w:p>
      <w:pPr>
        <w:widowControl/>
        <w:adjustRightInd w:val="0"/>
        <w:snapToGrid w:val="0"/>
        <w:spacing w:line="480" w:lineRule="auto"/>
        <w:rPr>
          <w:rFonts w:ascii="宋体" w:cs="宋体"/>
          <w:bCs/>
          <w:color w:val="auto"/>
          <w:kern w:val="0"/>
          <w:sz w:val="24"/>
          <w:szCs w:val="24"/>
          <w:highlight w:val="none"/>
        </w:rPr>
      </w:pPr>
      <w:r>
        <w:rPr>
          <w:rFonts w:hint="eastAsia" w:ascii="宋体" w:cs="宋体"/>
          <w:bCs/>
          <w:color w:val="auto"/>
          <w:kern w:val="0"/>
          <w:sz w:val="24"/>
          <w:szCs w:val="24"/>
          <w:highlight w:val="none"/>
        </w:rPr>
        <w:br w:type="page"/>
      </w:r>
      <w:r>
        <w:rPr>
          <w:rFonts w:hint="eastAsia" w:ascii="宋体" w:cs="宋体"/>
          <w:bCs/>
          <w:color w:val="auto"/>
          <w:kern w:val="0"/>
          <w:sz w:val="28"/>
          <w:szCs w:val="24"/>
          <w:highlight w:val="none"/>
        </w:rPr>
        <w:t>附件1</w:t>
      </w:r>
    </w:p>
    <w:p>
      <w:pPr>
        <w:widowControl/>
        <w:adjustRightInd w:val="0"/>
        <w:snapToGrid w:val="0"/>
        <w:spacing w:line="480" w:lineRule="auto"/>
        <w:jc w:val="center"/>
        <w:rPr>
          <w:rFonts w:ascii="宋体" w:cs="宋体"/>
          <w:b/>
          <w:bCs/>
          <w:color w:val="auto"/>
          <w:kern w:val="0"/>
          <w:sz w:val="30"/>
          <w:szCs w:val="30"/>
          <w:highlight w:val="none"/>
        </w:rPr>
      </w:pPr>
      <w:r>
        <w:rPr>
          <w:rFonts w:hint="eastAsia" w:ascii="宋体" w:cs="宋体"/>
          <w:b/>
          <w:bCs/>
          <w:color w:val="auto"/>
          <w:kern w:val="0"/>
          <w:sz w:val="30"/>
          <w:szCs w:val="30"/>
          <w:highlight w:val="none"/>
        </w:rPr>
        <w:t>普通高等学校201</w:t>
      </w:r>
      <w:r>
        <w:rPr>
          <w:rFonts w:hint="eastAsia" w:ascii="宋体" w:cs="宋体"/>
          <w:b/>
          <w:bCs/>
          <w:color w:val="auto"/>
          <w:kern w:val="0"/>
          <w:sz w:val="30"/>
          <w:szCs w:val="30"/>
          <w:highlight w:val="none"/>
          <w:lang w:val="en-US" w:eastAsia="zh-CN"/>
        </w:rPr>
        <w:t>9</w:t>
      </w:r>
      <w:r>
        <w:rPr>
          <w:rFonts w:hint="eastAsia" w:ascii="宋体" w:cs="宋体"/>
          <w:b/>
          <w:bCs/>
          <w:color w:val="auto"/>
          <w:kern w:val="0"/>
          <w:sz w:val="30"/>
          <w:szCs w:val="30"/>
          <w:highlight w:val="none"/>
        </w:rPr>
        <w:t>-20</w:t>
      </w:r>
      <w:r>
        <w:rPr>
          <w:rFonts w:hint="eastAsia" w:ascii="宋体" w:cs="宋体"/>
          <w:b/>
          <w:bCs/>
          <w:color w:val="auto"/>
          <w:kern w:val="0"/>
          <w:sz w:val="30"/>
          <w:szCs w:val="30"/>
          <w:highlight w:val="none"/>
          <w:lang w:val="en-US" w:eastAsia="zh-CN"/>
        </w:rPr>
        <w:t>20</w:t>
      </w:r>
      <w:r>
        <w:rPr>
          <w:rFonts w:hint="eastAsia" w:ascii="宋体" w:cs="宋体"/>
          <w:b/>
          <w:bCs/>
          <w:color w:val="auto"/>
          <w:kern w:val="0"/>
          <w:sz w:val="30"/>
          <w:szCs w:val="30"/>
          <w:highlight w:val="none"/>
        </w:rPr>
        <w:t>学年本科教学质量报告基本要求</w:t>
      </w:r>
    </w:p>
    <w:p>
      <w:pPr>
        <w:widowControl/>
        <w:adjustRightInd w:val="0"/>
        <w:snapToGrid w:val="0"/>
        <w:spacing w:line="520" w:lineRule="atLeast"/>
        <w:ind w:firstLine="560" w:firstLineChars="200"/>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各省级教育行政部门和高校应根据各自地域、不同类型学校的办学特点，在充分分析和认真总结提炼的基础上，紧扣本科教学工作，分析教学基本状态，突出教学改革亮点、成就和经验，准确把握存在的问题，实事求是撰写本科教学质量年度报告，全面展示本科教学质量和人才培养状况。</w:t>
      </w:r>
    </w:p>
    <w:p>
      <w:pPr>
        <w:widowControl/>
        <w:adjustRightInd w:val="0"/>
        <w:snapToGrid w:val="0"/>
        <w:spacing w:line="520" w:lineRule="atLeast"/>
        <w:ind w:firstLine="562" w:firstLineChars="200"/>
        <w:jc w:val="left"/>
        <w:rPr>
          <w:rFonts w:ascii="仿宋_GB2312" w:eastAsia="仿宋_GB2312" w:cs="宋体"/>
          <w:color w:val="auto"/>
          <w:kern w:val="0"/>
          <w:sz w:val="28"/>
          <w:szCs w:val="28"/>
          <w:highlight w:val="none"/>
        </w:rPr>
      </w:pPr>
      <w:r>
        <w:rPr>
          <w:rFonts w:hint="eastAsia" w:ascii="仿宋_GB2312" w:eastAsia="仿宋_GB2312" w:cs="宋体"/>
          <w:b/>
          <w:bCs/>
          <w:color w:val="auto"/>
          <w:kern w:val="0"/>
          <w:sz w:val="28"/>
          <w:szCs w:val="28"/>
          <w:highlight w:val="none"/>
        </w:rPr>
        <w:t>一、本科教学质量报告内容要求</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（一）本科教育基本情况。包括本科人才培养目标及服务面向、本科专业设置情况，各类全日制在校学生情况及本科生所占比例，本科生源质量情况等。</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（二）师资与教学条件。描述学校师资队伍数量及结构情况、生师比、本科生主讲教师情况、教授承担本科课程情况，教学经费投入情况，教学用房、图书、设备、信息资源及其应用情况等。</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（三）教学建设与改革。揭示教学过程各主要方面和关键环节，包括《习近平总书记教育重要论述讲义》</w:t>
      </w:r>
      <w:r>
        <w:rPr>
          <w:rFonts w:hint="eastAsia" w:ascii="仿宋_GB2312" w:eastAsia="仿宋_GB2312" w:cs="宋体"/>
          <w:color w:val="auto"/>
          <w:kern w:val="0"/>
          <w:sz w:val="28"/>
          <w:szCs w:val="28"/>
          <w:highlight w:val="none"/>
          <w:lang w:eastAsia="zh-CN"/>
        </w:rPr>
        <w:t>使用情况、</w:t>
      </w:r>
      <w:r>
        <w:rPr>
          <w:rFonts w:hint="eastAsia" w:ascii="仿宋_GB2312" w:eastAsia="仿宋_GB2312" w:cs="宋体"/>
          <w:color w:val="auto"/>
          <w:kern w:val="0"/>
          <w:sz w:val="28"/>
          <w:szCs w:val="28"/>
          <w:highlight w:val="none"/>
        </w:rPr>
        <w:t>专业建设、课程建设、教材建设、教学改革等。特别是把《习近平总书记教育重要论述讲义》作为必修教材、按要求开设“习近平总书记关于教育的重要论述研究”必修课;全校开设课程门数及选修课程开设情况、课堂教学规模、实践教学、毕业论文(设计)以及学生创新创业教育等。</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四)专业培养能力。展示本科专业培养能力和发展水平，主要描述专业概况，突出特色、优势、问题及困难等。包括主要专业的培养目标、教学条件、人才培养等情况，特别是人才培养目标定位与社会人才需求适应性、培养方案特点，专任教师数量和结构、生师比、教学经费投入、教学资源、实践教学及实习实训基地，立德树人落实机制、专业课程体系建设、教授授课、实践教学、创新创业教育、学风管理等概况。</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五)质量保障体系。阐述学校人才培养中心地位落实情况、校领导班子研究本科教学工作情况、出台的相关政策措施，教学质量保障体系建设、日常监控及运行、规范教学行为情况，本科教学基本状态分析，开展专业评估、专业认证、国际评估情况等。</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(六)学生学习效果。呈现学生学习满意度、应届本科生毕业情况、学位授予情况、攻读研究生情况、就业情况、社会用人单位对毕业生评价、毕业生成就等。</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(七)特色发展。总结学校在本科教育教学工作中的特色和经验。</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(八)需要解决的问题。针对影响教学质量的突出问题，分析主要原因，提出解决问题的措施及建议。</w:t>
      </w:r>
    </w:p>
    <w:p>
      <w:pPr>
        <w:keepNext w:val="0"/>
        <w:keepLines w:val="0"/>
        <w:pageBreakBefore w:val="0"/>
        <w:widowControl/>
        <w:kinsoku/>
        <w:wordWrap/>
        <w:overflowPunct/>
        <w:topLinePunct w:val="0"/>
        <w:autoSpaceDE/>
        <w:autoSpaceDN/>
        <w:bidi w:val="0"/>
        <w:adjustRightInd w:val="0"/>
        <w:snapToGrid w:val="0"/>
        <w:spacing w:line="520" w:lineRule="atLeast"/>
        <w:ind w:firstLine="560" w:firstLineChars="200"/>
        <w:jc w:val="left"/>
        <w:textAlignment w:val="auto"/>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(九)报告标题形式。报告标题统</w:t>
      </w:r>
      <w:r>
        <w:rPr>
          <w:rFonts w:hint="eastAsia" w:ascii="仿宋_GB2312" w:eastAsia="仿宋_GB2312" w:cs="宋体"/>
          <w:color w:val="auto"/>
          <w:kern w:val="0"/>
          <w:sz w:val="28"/>
          <w:szCs w:val="28"/>
          <w:highlight w:val="none"/>
          <w:lang w:eastAsia="zh-CN"/>
        </w:rPr>
        <w:t>一</w:t>
      </w:r>
      <w:r>
        <w:rPr>
          <w:rFonts w:hint="eastAsia" w:ascii="仿宋_GB2312" w:eastAsia="仿宋_GB2312" w:cs="宋体"/>
          <w:color w:val="auto"/>
          <w:kern w:val="0"/>
          <w:sz w:val="28"/>
          <w:szCs w:val="28"/>
          <w:highlight w:val="none"/>
        </w:rPr>
        <w:t>为: 学校+“2019-2020学年本科教学质量报告”</w:t>
      </w:r>
    </w:p>
    <w:p>
      <w:pPr>
        <w:keepNext w:val="0"/>
        <w:keepLines w:val="0"/>
        <w:pageBreakBefore w:val="0"/>
        <w:widowControl/>
        <w:kinsoku/>
        <w:wordWrap/>
        <w:overflowPunct/>
        <w:topLinePunct w:val="0"/>
        <w:autoSpaceDE/>
        <w:autoSpaceDN/>
        <w:bidi w:val="0"/>
        <w:adjustRightInd w:val="0"/>
        <w:snapToGrid w:val="0"/>
        <w:spacing w:line="520" w:lineRule="atLeast"/>
        <w:ind w:firstLine="562" w:firstLineChars="200"/>
        <w:jc w:val="left"/>
        <w:textAlignment w:val="auto"/>
        <w:rPr>
          <w:rFonts w:ascii="仿宋_GB2312" w:eastAsia="仿宋_GB2312" w:cs="宋体"/>
          <w:b/>
          <w:bCs/>
          <w:color w:val="auto"/>
          <w:kern w:val="0"/>
          <w:sz w:val="28"/>
          <w:szCs w:val="28"/>
          <w:highlight w:val="none"/>
        </w:rPr>
      </w:pPr>
      <w:r>
        <w:rPr>
          <w:rFonts w:hint="eastAsia" w:ascii="仿宋_GB2312" w:eastAsia="仿宋_GB2312" w:cs="宋体"/>
          <w:b/>
          <w:bCs/>
          <w:color w:val="auto"/>
          <w:kern w:val="0"/>
          <w:sz w:val="28"/>
          <w:szCs w:val="28"/>
          <w:highlight w:val="none"/>
        </w:rPr>
        <w:t>二、本科教学质量报告格式要求</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(一)标题：黑体小二加粗居中，单倍行距。</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(二)一级标题：黑体小三顶左，单倍行距。</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(三)二级标题：黑体四号顶左，单倍行距。</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(四)三级标题：黑体小四顶左，单倍行距。</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(五)段落文字：宋体小四，两端对齐书写，段落首行左缩进2个汉字符。行距20磅。</w:t>
      </w:r>
    </w:p>
    <w:p>
      <w:pPr>
        <w:widowControl/>
        <w:adjustRightInd w:val="0"/>
        <w:snapToGrid w:val="0"/>
        <w:spacing w:line="520" w:lineRule="atLeast"/>
        <w:ind w:firstLine="560" w:firstLineChars="200"/>
        <w:jc w:val="left"/>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(六)表格：表名置于表的上方，宋体五号居中，表格内文字为宋体，大小根据表的内容自行调整。</w:t>
      </w:r>
    </w:p>
    <w:p>
      <w:pPr>
        <w:widowControl/>
        <w:adjustRightInd w:val="0"/>
        <w:snapToGrid w:val="0"/>
        <w:spacing w:line="520" w:lineRule="atLeast"/>
        <w:ind w:firstLine="560" w:firstLineChars="200"/>
        <w:jc w:val="left"/>
        <w:rPr>
          <w:rFonts w:ascii="宋体"/>
          <w:color w:val="auto"/>
          <w:sz w:val="24"/>
          <w:szCs w:val="24"/>
          <w:highlight w:val="none"/>
        </w:rPr>
      </w:pPr>
      <w:r>
        <w:rPr>
          <w:rFonts w:hint="eastAsia" w:ascii="仿宋_GB2312" w:eastAsia="仿宋_GB2312" w:cs="宋体"/>
          <w:color w:val="auto"/>
          <w:kern w:val="0"/>
          <w:sz w:val="28"/>
          <w:szCs w:val="28"/>
          <w:highlight w:val="none"/>
        </w:rPr>
        <w:t>(七)图：图名置于图的下方，宋体五号居中，单倍行距。</w:t>
      </w:r>
      <w:r>
        <w:rPr>
          <w:rFonts w:hint="eastAsia" w:ascii="宋体" w:cs="宋体"/>
          <w:color w:val="auto"/>
          <w:kern w:val="0"/>
          <w:sz w:val="24"/>
          <w:highlight w:val="none"/>
        </w:rPr>
        <w:br w:type="page"/>
      </w:r>
      <w:r>
        <w:rPr>
          <w:rFonts w:hint="eastAsia" w:ascii="宋体"/>
          <w:color w:val="auto"/>
          <w:sz w:val="28"/>
          <w:szCs w:val="24"/>
          <w:highlight w:val="none"/>
        </w:rPr>
        <w:t>附件2</w:t>
      </w:r>
    </w:p>
    <w:p>
      <w:pPr>
        <w:jc w:val="center"/>
        <w:rPr>
          <w:rFonts w:ascii="宋体"/>
          <w:b/>
          <w:color w:val="auto"/>
          <w:sz w:val="30"/>
          <w:szCs w:val="30"/>
          <w:highlight w:val="none"/>
        </w:rPr>
      </w:pPr>
      <w:r>
        <w:rPr>
          <w:rFonts w:hint="eastAsia" w:ascii="宋体"/>
          <w:b/>
          <w:color w:val="auto"/>
          <w:sz w:val="30"/>
          <w:szCs w:val="30"/>
          <w:highlight w:val="none"/>
        </w:rPr>
        <w:t>普通高等学校201</w:t>
      </w:r>
      <w:r>
        <w:rPr>
          <w:rFonts w:hint="eastAsia" w:ascii="宋体"/>
          <w:b/>
          <w:color w:val="auto"/>
          <w:sz w:val="30"/>
          <w:szCs w:val="30"/>
          <w:highlight w:val="none"/>
          <w:lang w:val="en-US" w:eastAsia="zh-CN"/>
        </w:rPr>
        <w:t>9</w:t>
      </w:r>
      <w:r>
        <w:rPr>
          <w:rFonts w:hint="eastAsia" w:ascii="宋体"/>
          <w:b/>
          <w:color w:val="auto"/>
          <w:sz w:val="30"/>
          <w:szCs w:val="30"/>
          <w:highlight w:val="none"/>
        </w:rPr>
        <w:t>-20</w:t>
      </w:r>
      <w:r>
        <w:rPr>
          <w:rFonts w:hint="eastAsia" w:ascii="宋体"/>
          <w:b/>
          <w:color w:val="auto"/>
          <w:sz w:val="30"/>
          <w:szCs w:val="30"/>
          <w:highlight w:val="none"/>
          <w:lang w:val="en-US" w:eastAsia="zh-CN"/>
        </w:rPr>
        <w:t>20</w:t>
      </w:r>
      <w:r>
        <w:rPr>
          <w:rFonts w:hint="eastAsia" w:ascii="宋体"/>
          <w:b/>
          <w:color w:val="auto"/>
          <w:sz w:val="30"/>
          <w:szCs w:val="30"/>
          <w:highlight w:val="none"/>
        </w:rPr>
        <w:t>学年本科教学质量报告</w:t>
      </w:r>
    </w:p>
    <w:p>
      <w:pPr>
        <w:jc w:val="center"/>
        <w:rPr>
          <w:rFonts w:ascii="宋体"/>
          <w:b/>
          <w:color w:val="auto"/>
          <w:sz w:val="30"/>
          <w:szCs w:val="30"/>
          <w:highlight w:val="none"/>
        </w:rPr>
      </w:pPr>
      <w:r>
        <w:rPr>
          <w:rFonts w:hint="eastAsia" w:ascii="宋体"/>
          <w:b/>
          <w:color w:val="auto"/>
          <w:sz w:val="30"/>
          <w:szCs w:val="30"/>
          <w:highlight w:val="none"/>
        </w:rPr>
        <w:t>支撑数据目录</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Cs w:val="24"/>
          <w:highlight w:val="none"/>
          <w:shd w:val="clear" w:color="auto" w:fill="FFFFFF"/>
        </w:rPr>
        <w:t>　　</w:t>
      </w:r>
      <w:r>
        <w:rPr>
          <w:rFonts w:hint="eastAsia" w:ascii="仿宋_GB2312" w:eastAsia="仿宋_GB2312" w:cs="仿宋_GB2312"/>
          <w:color w:val="auto"/>
          <w:sz w:val="28"/>
          <w:szCs w:val="28"/>
          <w:highlight w:val="none"/>
          <w:shd w:val="clear" w:color="auto" w:fill="FFFFFF"/>
        </w:rPr>
        <w:t>1.本科生占全日制在校生总数的比例</w:t>
      </w:r>
    </w:p>
    <w:p>
      <w:pPr>
        <w:pStyle w:val="4"/>
        <w:widowControl/>
        <w:shd w:val="clear" w:color="auto" w:fill="FFFFFF"/>
        <w:spacing w:before="120" w:beforeLines="50" w:beforeAutospacing="0" w:after="120" w:afterLines="50" w:afterAutospacing="0" w:line="400" w:lineRule="atLeast"/>
        <w:jc w:val="both"/>
        <w:rPr>
          <w:rFonts w:hint="eastAsia" w:ascii="仿宋_GB2312" w:eastAsia="仿宋_GB2312" w:cs="仿宋_GB2312"/>
          <w:color w:val="auto"/>
          <w:sz w:val="28"/>
          <w:szCs w:val="28"/>
          <w:highlight w:val="none"/>
          <w:lang w:eastAsia="zh-CN"/>
        </w:rPr>
      </w:pPr>
      <w:r>
        <w:rPr>
          <w:rFonts w:hint="eastAsia" w:ascii="仿宋_GB2312" w:eastAsia="仿宋_GB2312" w:cs="仿宋_GB2312"/>
          <w:color w:val="auto"/>
          <w:sz w:val="28"/>
          <w:szCs w:val="28"/>
          <w:highlight w:val="none"/>
          <w:shd w:val="clear" w:color="auto" w:fill="FFFFFF"/>
        </w:rPr>
        <w:t>　　2.教师数量及结构</w:t>
      </w:r>
      <w:r>
        <w:rPr>
          <w:rFonts w:hint="eastAsia" w:ascii="仿宋_GB2312" w:eastAsia="仿宋_GB2312" w:cs="仿宋_GB2312"/>
          <w:color w:val="auto"/>
          <w:sz w:val="28"/>
          <w:szCs w:val="28"/>
          <w:highlight w:val="none"/>
          <w:shd w:val="clear" w:color="auto" w:fill="FFFFFF"/>
          <w:lang w:eastAsia="zh-CN"/>
        </w:rPr>
        <w:t>（全校及分专业）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3.专业设置情况（全校本科专业总数、当年本科招生专业总数以及当年新增专业、停招专业名单）</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4.生师比</w:t>
      </w:r>
      <w:r>
        <w:rPr>
          <w:rFonts w:hint="eastAsia" w:ascii="仿宋_GB2312" w:eastAsia="仿宋_GB2312" w:cs="仿宋_GB2312"/>
          <w:color w:val="auto"/>
          <w:sz w:val="28"/>
          <w:szCs w:val="28"/>
          <w:highlight w:val="none"/>
          <w:shd w:val="clear" w:color="auto" w:fill="FFFFFF"/>
          <w:lang w:eastAsia="zh-CN"/>
        </w:rPr>
        <w:t>（全校及分专业）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5.生均教学科研仪器设备值</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6.当年新增教学科研仪器设备值</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7.生均图书</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8.电子图书、电子期刊种数</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9.生均教学行政用房（其中生均实验室面积）</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10.生均本科教学日常运行支出</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11.本科专项教学经费（自然年内学校立项用于本科教学改革和建设的专项经费总额）</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12.生均本科实验经费（自然年内学校用于实验教学运行、维护经费生均值）</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13.生均本科实习经费（自然年内用于本科培养方案内的实习环节支出经费生均值）</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14.全校开设课程总门数（学年内实际开设的本科培养计划内课程总数，跨学期讲授的同一门课程计一门）</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15.实践教学学分占总学分比例（可按学科门类</w:t>
      </w:r>
      <w:r>
        <w:rPr>
          <w:rFonts w:hint="eastAsia" w:ascii="仿宋_GB2312" w:eastAsia="仿宋_GB2312" w:cs="仿宋_GB2312"/>
          <w:color w:val="auto"/>
          <w:sz w:val="28"/>
          <w:szCs w:val="28"/>
          <w:highlight w:val="none"/>
          <w:shd w:val="clear" w:color="auto" w:fill="FFFFFF"/>
          <w:lang w:eastAsia="zh-CN"/>
        </w:rPr>
        <w:t>、专业</w:t>
      </w:r>
      <w:r>
        <w:rPr>
          <w:rFonts w:hint="eastAsia" w:ascii="仿宋_GB2312" w:eastAsia="仿宋_GB2312" w:cs="仿宋_GB2312"/>
          <w:color w:val="auto"/>
          <w:sz w:val="28"/>
          <w:szCs w:val="28"/>
          <w:highlight w:val="none"/>
          <w:shd w:val="clear" w:color="auto" w:fill="FFFFFF"/>
        </w:rPr>
        <w:t>）</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16.选修课学分占总学分比例（可按学科门类</w:t>
      </w:r>
      <w:r>
        <w:rPr>
          <w:rFonts w:hint="eastAsia" w:ascii="仿宋_GB2312" w:eastAsia="仿宋_GB2312" w:cs="仿宋_GB2312"/>
          <w:color w:val="auto"/>
          <w:sz w:val="28"/>
          <w:szCs w:val="28"/>
          <w:highlight w:val="none"/>
          <w:shd w:val="clear" w:color="auto" w:fill="FFFFFF"/>
          <w:lang w:eastAsia="zh-CN"/>
        </w:rPr>
        <w:t>、专业</w:t>
      </w:r>
      <w:r>
        <w:rPr>
          <w:rFonts w:hint="eastAsia" w:ascii="仿宋_GB2312" w:eastAsia="仿宋_GB2312" w:cs="仿宋_GB2312"/>
          <w:color w:val="auto"/>
          <w:sz w:val="28"/>
          <w:szCs w:val="28"/>
          <w:highlight w:val="none"/>
          <w:shd w:val="clear" w:color="auto" w:fill="FFFFFF"/>
        </w:rPr>
        <w:t>）</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17.主讲本科课程的教授占教授总数的比例（不含讲座</w:t>
      </w:r>
      <w:r>
        <w:rPr>
          <w:rFonts w:hint="eastAsia" w:ascii="仿宋_GB2312" w:eastAsia="仿宋_GB2312" w:cs="仿宋_GB2312"/>
          <w:color w:val="auto"/>
          <w:sz w:val="28"/>
          <w:szCs w:val="28"/>
          <w:highlight w:val="none"/>
          <w:shd w:val="clear" w:color="auto" w:fill="FFFFFF"/>
          <w:lang w:eastAsia="zh-CN"/>
        </w:rPr>
        <w:t>，全校及分专业</w:t>
      </w:r>
      <w:r>
        <w:rPr>
          <w:rFonts w:hint="eastAsia" w:ascii="仿宋_GB2312" w:eastAsia="仿宋_GB2312" w:cs="仿宋_GB2312"/>
          <w:color w:val="auto"/>
          <w:sz w:val="28"/>
          <w:szCs w:val="28"/>
          <w:highlight w:val="none"/>
          <w:shd w:val="clear" w:color="auto" w:fill="FFFFFF"/>
        </w:rPr>
        <w:t>）</w:t>
      </w:r>
    </w:p>
    <w:p>
      <w:pPr>
        <w:pStyle w:val="4"/>
        <w:widowControl/>
        <w:shd w:val="clear" w:color="auto" w:fill="FFFFFF"/>
        <w:spacing w:before="120" w:beforeLines="50" w:beforeAutospacing="0" w:after="120" w:afterLines="50" w:afterAutospacing="0" w:line="400" w:lineRule="atLeast"/>
        <w:ind w:firstLine="568"/>
        <w:jc w:val="both"/>
        <w:rPr>
          <w:rFonts w:hint="eastAsia" w:ascii="仿宋_GB2312" w:eastAsia="仿宋_GB2312" w:cs="仿宋_GB2312"/>
          <w:color w:val="auto"/>
          <w:sz w:val="28"/>
          <w:szCs w:val="28"/>
          <w:highlight w:val="none"/>
          <w:shd w:val="clear" w:color="auto" w:fill="FFFFFF"/>
        </w:rPr>
      </w:pPr>
      <w:r>
        <w:rPr>
          <w:rFonts w:hint="eastAsia" w:ascii="仿宋_GB2312" w:eastAsia="仿宋_GB2312" w:cs="仿宋_GB2312"/>
          <w:color w:val="auto"/>
          <w:sz w:val="28"/>
          <w:szCs w:val="28"/>
          <w:highlight w:val="none"/>
          <w:shd w:val="clear" w:color="auto" w:fill="FFFFFF"/>
        </w:rPr>
        <w:t>18.教授讲授本科课程占课程总门次数的比例（一门课程的全部课时均由教授授课，计为1；由多名教师共同承担的，按教授实际承担学时比例计算</w:t>
      </w:r>
      <w:r>
        <w:rPr>
          <w:rFonts w:hint="eastAsia" w:ascii="仿宋_GB2312" w:eastAsia="仿宋_GB2312" w:cs="仿宋_GB2312"/>
          <w:color w:val="auto"/>
          <w:sz w:val="28"/>
          <w:szCs w:val="28"/>
          <w:highlight w:val="none"/>
          <w:shd w:val="clear" w:color="auto" w:fill="FFFFFF"/>
          <w:lang w:eastAsia="zh-CN"/>
        </w:rPr>
        <w:t>，全校及分专业</w:t>
      </w:r>
      <w:r>
        <w:rPr>
          <w:rFonts w:hint="eastAsia" w:ascii="仿宋_GB2312" w:eastAsia="仿宋_GB2312" w:cs="仿宋_GB2312"/>
          <w:color w:val="auto"/>
          <w:sz w:val="28"/>
          <w:szCs w:val="28"/>
          <w:highlight w:val="none"/>
          <w:shd w:val="clear" w:color="auto" w:fill="FFFFFF"/>
        </w:rPr>
        <w:t>）</w:t>
      </w:r>
    </w:p>
    <w:p>
      <w:pPr>
        <w:pStyle w:val="4"/>
        <w:widowControl/>
        <w:shd w:val="clear" w:color="auto" w:fill="FFFFFF"/>
        <w:spacing w:before="120" w:beforeLines="50" w:beforeAutospacing="0" w:after="120" w:afterLines="50" w:afterAutospacing="0" w:line="400" w:lineRule="atLeast"/>
        <w:ind w:firstLine="568"/>
        <w:jc w:val="both"/>
        <w:rPr>
          <w:rFonts w:hint="default" w:ascii="仿宋_GB2312" w:eastAsia="仿宋_GB2312" w:cs="仿宋_GB2312"/>
          <w:color w:val="auto"/>
          <w:sz w:val="28"/>
          <w:szCs w:val="28"/>
          <w:highlight w:val="none"/>
          <w:shd w:val="clear" w:color="auto" w:fill="FFFFFF"/>
          <w:lang w:val="en-US" w:eastAsia="zh-CN"/>
        </w:rPr>
      </w:pPr>
      <w:r>
        <w:rPr>
          <w:rFonts w:hint="eastAsia" w:ascii="仿宋_GB2312" w:eastAsia="仿宋_GB2312" w:cs="仿宋_GB2312"/>
          <w:color w:val="auto"/>
          <w:sz w:val="28"/>
          <w:szCs w:val="28"/>
          <w:highlight w:val="none"/>
          <w:shd w:val="clear" w:color="auto" w:fill="FFFFFF"/>
          <w:lang w:val="en-US" w:eastAsia="zh-CN"/>
        </w:rPr>
        <w:t>19.实践教学及实习实训基地（分专业）</w:t>
      </w:r>
    </w:p>
    <w:p>
      <w:pPr>
        <w:pStyle w:val="4"/>
        <w:widowControl/>
        <w:shd w:val="clear" w:color="auto" w:fill="FFFFFF"/>
        <w:spacing w:before="120" w:beforeLines="50" w:beforeAutospacing="0" w:after="120" w:afterLines="50" w:afterAutospacing="0" w:line="400" w:lineRule="atLeast"/>
        <w:jc w:val="both"/>
        <w:rPr>
          <w:rFonts w:hint="eastAsia" w:ascii="仿宋_GB2312" w:eastAsia="仿宋_GB2312" w:cs="仿宋_GB2312"/>
          <w:color w:val="auto"/>
          <w:sz w:val="28"/>
          <w:szCs w:val="28"/>
          <w:highlight w:val="none"/>
          <w:lang w:eastAsia="zh-CN"/>
        </w:rPr>
      </w:pPr>
      <w:r>
        <w:rPr>
          <w:rFonts w:hint="eastAsia" w:ascii="仿宋_GB2312" w:eastAsia="仿宋_GB2312" w:cs="仿宋_GB2312"/>
          <w:color w:val="auto"/>
          <w:sz w:val="28"/>
          <w:szCs w:val="28"/>
          <w:highlight w:val="none"/>
          <w:shd w:val="clear" w:color="auto" w:fill="FFFFFF"/>
        </w:rPr>
        <w:t>　　</w:t>
      </w:r>
      <w:r>
        <w:rPr>
          <w:rFonts w:hint="eastAsia" w:ascii="仿宋_GB2312" w:eastAsia="仿宋_GB2312" w:cs="仿宋_GB2312"/>
          <w:color w:val="auto"/>
          <w:sz w:val="28"/>
          <w:szCs w:val="28"/>
          <w:highlight w:val="none"/>
          <w:shd w:val="clear" w:color="auto" w:fill="FFFFFF"/>
          <w:lang w:val="en-US" w:eastAsia="zh-CN"/>
        </w:rPr>
        <w:t>20</w:t>
      </w:r>
      <w:r>
        <w:rPr>
          <w:rFonts w:hint="eastAsia" w:ascii="仿宋_GB2312" w:eastAsia="仿宋_GB2312" w:cs="仿宋_GB2312"/>
          <w:color w:val="auto"/>
          <w:sz w:val="28"/>
          <w:szCs w:val="28"/>
          <w:highlight w:val="none"/>
          <w:shd w:val="clear" w:color="auto" w:fill="FFFFFF"/>
        </w:rPr>
        <w:t>.应届本科生毕业率</w:t>
      </w:r>
      <w:r>
        <w:rPr>
          <w:rFonts w:hint="eastAsia" w:ascii="仿宋_GB2312" w:eastAsia="仿宋_GB2312" w:cs="仿宋_GB2312"/>
          <w:color w:val="auto"/>
          <w:sz w:val="28"/>
          <w:szCs w:val="28"/>
          <w:highlight w:val="none"/>
          <w:shd w:val="clear" w:color="auto" w:fill="FFFFFF"/>
          <w:lang w:eastAsia="zh-CN"/>
        </w:rPr>
        <w:t>（分专业）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1</w:t>
      </w:r>
      <w:r>
        <w:rPr>
          <w:rFonts w:hint="eastAsia" w:ascii="仿宋_GB2312" w:eastAsia="仿宋_GB2312" w:cs="仿宋_GB2312"/>
          <w:color w:val="auto"/>
          <w:sz w:val="28"/>
          <w:szCs w:val="28"/>
          <w:highlight w:val="none"/>
          <w:shd w:val="clear" w:color="auto" w:fill="FFFFFF"/>
        </w:rPr>
        <w:t>.应届本科生学位授予率</w:t>
      </w:r>
      <w:r>
        <w:rPr>
          <w:rFonts w:hint="eastAsia" w:ascii="仿宋_GB2312" w:eastAsia="仿宋_GB2312" w:cs="仿宋_GB2312"/>
          <w:color w:val="auto"/>
          <w:sz w:val="28"/>
          <w:szCs w:val="28"/>
          <w:highlight w:val="none"/>
          <w:shd w:val="clear" w:color="auto" w:fill="FFFFFF"/>
          <w:lang w:eastAsia="zh-CN"/>
        </w:rPr>
        <w:t>（全校及分专业）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2</w:t>
      </w:r>
      <w:r>
        <w:rPr>
          <w:rFonts w:hint="eastAsia" w:ascii="仿宋_GB2312" w:eastAsia="仿宋_GB2312" w:cs="仿宋_GB2312"/>
          <w:color w:val="auto"/>
          <w:sz w:val="28"/>
          <w:szCs w:val="28"/>
          <w:highlight w:val="none"/>
          <w:shd w:val="clear" w:color="auto" w:fill="FFFFFF"/>
        </w:rPr>
        <w:t>.应届本科生初次就业率</w:t>
      </w:r>
      <w:r>
        <w:rPr>
          <w:rFonts w:hint="eastAsia" w:ascii="仿宋_GB2312" w:eastAsia="仿宋_GB2312" w:cs="仿宋_GB2312"/>
          <w:color w:val="auto"/>
          <w:sz w:val="28"/>
          <w:szCs w:val="28"/>
          <w:highlight w:val="none"/>
          <w:shd w:val="clear" w:color="auto" w:fill="FFFFFF"/>
          <w:lang w:eastAsia="zh-CN"/>
        </w:rPr>
        <w:t>（全校及分专业）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3</w:t>
      </w:r>
      <w:r>
        <w:rPr>
          <w:rFonts w:hint="eastAsia" w:ascii="仿宋_GB2312" w:eastAsia="仿宋_GB2312" w:cs="仿宋_GB2312"/>
          <w:color w:val="auto"/>
          <w:sz w:val="28"/>
          <w:szCs w:val="28"/>
          <w:highlight w:val="none"/>
          <w:shd w:val="clear" w:color="auto" w:fill="FFFFFF"/>
        </w:rPr>
        <w:t>.体质测试达标率</w:t>
      </w:r>
      <w:r>
        <w:rPr>
          <w:rFonts w:hint="eastAsia" w:ascii="仿宋_GB2312" w:eastAsia="仿宋_GB2312" w:cs="仿宋_GB2312"/>
          <w:color w:val="auto"/>
          <w:sz w:val="28"/>
          <w:szCs w:val="28"/>
          <w:highlight w:val="none"/>
          <w:shd w:val="clear" w:color="auto" w:fill="FFFFFF"/>
          <w:lang w:eastAsia="zh-CN"/>
        </w:rPr>
        <w:t>（全校及分专业）</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4</w:t>
      </w:r>
      <w:r>
        <w:rPr>
          <w:rFonts w:hint="eastAsia" w:ascii="仿宋_GB2312" w:eastAsia="仿宋_GB2312" w:cs="仿宋_GB2312"/>
          <w:color w:val="auto"/>
          <w:sz w:val="28"/>
          <w:szCs w:val="28"/>
          <w:highlight w:val="none"/>
          <w:shd w:val="clear" w:color="auto" w:fill="FFFFFF"/>
        </w:rPr>
        <w:t>.学生学习满意度(调查方法与结果)</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5</w:t>
      </w:r>
      <w:r>
        <w:rPr>
          <w:rFonts w:hint="eastAsia" w:ascii="仿宋_GB2312" w:eastAsia="仿宋_GB2312" w:cs="仿宋_GB2312"/>
          <w:color w:val="auto"/>
          <w:sz w:val="28"/>
          <w:szCs w:val="28"/>
          <w:highlight w:val="none"/>
          <w:shd w:val="clear" w:color="auto" w:fill="FFFFFF"/>
        </w:rPr>
        <w:t>.用人单位对毕业生满意度(调查方法与结果)</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2</w:t>
      </w:r>
      <w:r>
        <w:rPr>
          <w:rFonts w:hint="eastAsia" w:ascii="仿宋_GB2312" w:eastAsia="仿宋_GB2312" w:cs="仿宋_GB2312"/>
          <w:color w:val="auto"/>
          <w:sz w:val="28"/>
          <w:szCs w:val="28"/>
          <w:highlight w:val="none"/>
          <w:shd w:val="clear" w:color="auto" w:fill="FFFFFF"/>
          <w:lang w:val="en-US" w:eastAsia="zh-CN"/>
        </w:rPr>
        <w:t>6</w:t>
      </w:r>
      <w:r>
        <w:rPr>
          <w:rFonts w:hint="eastAsia" w:ascii="仿宋_GB2312" w:eastAsia="仿宋_GB2312" w:cs="仿宋_GB2312"/>
          <w:color w:val="auto"/>
          <w:sz w:val="28"/>
          <w:szCs w:val="28"/>
          <w:highlight w:val="none"/>
          <w:shd w:val="clear" w:color="auto" w:fill="FFFFFF"/>
        </w:rPr>
        <w:t>.其它与本科教学质量相关数据</w:t>
      </w:r>
    </w:p>
    <w:p>
      <w:pPr>
        <w:pStyle w:val="4"/>
        <w:widowControl/>
        <w:shd w:val="clear" w:color="auto" w:fill="FFFFFF"/>
        <w:spacing w:before="120" w:beforeLines="50" w:beforeAutospacing="0" w:after="120" w:afterLines="50" w:afterAutospacing="0" w:line="400" w:lineRule="atLeast"/>
        <w:jc w:val="both"/>
        <w:rPr>
          <w:rFonts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shd w:val="clear" w:color="auto" w:fill="FFFFFF"/>
        </w:rPr>
        <w:t>　　说明：</w:t>
      </w:r>
    </w:p>
    <w:p>
      <w:pPr>
        <w:pStyle w:val="4"/>
        <w:widowControl/>
        <w:shd w:val="clear" w:color="auto" w:fill="FFFFFF"/>
        <w:spacing w:before="120" w:beforeLines="50" w:beforeAutospacing="0" w:after="120" w:afterLines="50" w:afterAutospacing="0" w:line="400" w:lineRule="atLeast"/>
        <w:ind w:firstLine="560" w:firstLineChars="200"/>
        <w:rPr>
          <w:rFonts w:ascii="仿宋_GB2312" w:eastAsia="仿宋_GB2312" w:cs="仿宋_GB2312"/>
          <w:color w:val="auto"/>
          <w:sz w:val="28"/>
          <w:szCs w:val="28"/>
          <w:highlight w:val="none"/>
          <w:shd w:val="clear" w:color="auto" w:fill="FFFFFF"/>
        </w:rPr>
      </w:pPr>
      <w:r>
        <w:rPr>
          <w:rFonts w:hint="eastAsia" w:ascii="仿宋_GB2312" w:eastAsia="仿宋_GB2312" w:cs="仿宋_GB2312"/>
          <w:color w:val="auto"/>
          <w:sz w:val="28"/>
          <w:szCs w:val="28"/>
          <w:highlight w:val="none"/>
          <w:shd w:val="clear" w:color="auto" w:fill="FFFFFF"/>
        </w:rPr>
        <w:t>1.数据的计算方法参照《教育部关于印发〈普通高等学校基本办学条件指标（试行）〉的通知》（教发〔2004〕2号）文件。</w:t>
      </w:r>
    </w:p>
    <w:p>
      <w:pPr>
        <w:pStyle w:val="4"/>
        <w:widowControl/>
        <w:shd w:val="clear" w:color="auto" w:fill="FFFFFF"/>
        <w:spacing w:before="120" w:beforeLines="50" w:beforeAutospacing="0" w:after="120" w:afterLines="50" w:afterAutospacing="0" w:line="400" w:lineRule="atLeast"/>
        <w:ind w:firstLine="560" w:firstLineChars="200"/>
        <w:rPr>
          <w:rFonts w:hint="eastAsia"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rPr>
        <w:t>2.财务数据(如经费、工资等)按照自然年计算，截止到201</w:t>
      </w:r>
      <w:r>
        <w:rPr>
          <w:rFonts w:hint="eastAsia" w:ascii="仿宋_GB2312" w:eastAsia="仿宋_GB2312" w:cs="仿宋_GB2312"/>
          <w:color w:val="auto"/>
          <w:sz w:val="28"/>
          <w:szCs w:val="28"/>
          <w:highlight w:val="none"/>
          <w:lang w:val="en-US" w:eastAsia="zh-CN"/>
        </w:rPr>
        <w:t>9</w:t>
      </w:r>
      <w:r>
        <w:rPr>
          <w:rFonts w:hint="eastAsia" w:ascii="仿宋_GB2312" w:eastAsia="仿宋_GB2312" w:cs="仿宋_GB2312"/>
          <w:color w:val="auto"/>
          <w:sz w:val="28"/>
          <w:szCs w:val="28"/>
          <w:highlight w:val="none"/>
        </w:rPr>
        <w:t>年</w:t>
      </w:r>
      <w:r>
        <w:rPr>
          <w:rFonts w:hint="eastAsia" w:ascii="仿宋_GB2312" w:eastAsia="仿宋_GB2312" w:cs="仿宋_GB2312"/>
          <w:color w:val="auto"/>
          <w:sz w:val="28"/>
          <w:szCs w:val="28"/>
          <w:highlight w:val="none"/>
          <w:lang w:val="en-US" w:eastAsia="zh-CN"/>
        </w:rPr>
        <w:t>12月31日</w:t>
      </w:r>
      <w:r>
        <w:rPr>
          <w:rFonts w:hint="eastAsia" w:ascii="仿宋_GB2312" w:eastAsia="仿宋_GB2312" w:cs="仿宋_GB2312"/>
          <w:color w:val="auto"/>
          <w:sz w:val="28"/>
          <w:szCs w:val="28"/>
          <w:highlight w:val="none"/>
        </w:rPr>
        <w:t>；教学数据(学生、教师、专业、课程等)应按照学年计算，为201</w:t>
      </w:r>
      <w:r>
        <w:rPr>
          <w:rFonts w:hint="eastAsia" w:ascii="仿宋_GB2312" w:eastAsia="仿宋_GB2312" w:cs="仿宋_GB2312"/>
          <w:color w:val="auto"/>
          <w:sz w:val="28"/>
          <w:szCs w:val="28"/>
          <w:highlight w:val="none"/>
          <w:lang w:val="en-US" w:eastAsia="zh-CN"/>
        </w:rPr>
        <w:t>9</w:t>
      </w:r>
      <w:r>
        <w:rPr>
          <w:rFonts w:hint="eastAsia" w:ascii="仿宋_GB2312" w:eastAsia="仿宋_GB2312" w:cs="仿宋_GB2312"/>
          <w:color w:val="auto"/>
          <w:sz w:val="28"/>
          <w:szCs w:val="28"/>
          <w:highlight w:val="none"/>
        </w:rPr>
        <w:t>-20</w:t>
      </w:r>
      <w:r>
        <w:rPr>
          <w:rFonts w:hint="eastAsia" w:ascii="仿宋_GB2312" w:eastAsia="仿宋_GB2312" w:cs="仿宋_GB2312"/>
          <w:color w:val="auto"/>
          <w:sz w:val="28"/>
          <w:szCs w:val="28"/>
          <w:highlight w:val="none"/>
          <w:lang w:val="en-US" w:eastAsia="zh-CN"/>
        </w:rPr>
        <w:t>20</w:t>
      </w:r>
      <w:r>
        <w:rPr>
          <w:rFonts w:hint="eastAsia" w:ascii="仿宋_GB2312" w:eastAsia="仿宋_GB2312" w:cs="仿宋_GB2312"/>
          <w:color w:val="auto"/>
          <w:sz w:val="28"/>
          <w:szCs w:val="28"/>
          <w:highlight w:val="none"/>
        </w:rPr>
        <w:t>学年。</w:t>
      </w:r>
    </w:p>
    <w:p>
      <w:pPr>
        <w:pStyle w:val="4"/>
        <w:widowControl/>
        <w:shd w:val="clear" w:color="auto" w:fill="FFFFFF"/>
        <w:spacing w:before="120" w:beforeLines="50" w:beforeAutospacing="0" w:after="120" w:afterLines="50" w:afterAutospacing="0" w:line="400" w:lineRule="atLeast"/>
        <w:ind w:firstLine="560" w:firstLineChars="200"/>
        <w:rPr>
          <w:rFonts w:hint="default" w:ascii="仿宋_GB2312" w:eastAsia="仿宋_GB2312" w:cs="仿宋_GB2312"/>
          <w:color w:val="auto"/>
          <w:sz w:val="28"/>
          <w:szCs w:val="28"/>
          <w:highlight w:val="none"/>
          <w:lang w:val="en-US" w:eastAsia="zh-CN"/>
        </w:rPr>
      </w:pPr>
      <w:r>
        <w:rPr>
          <w:rFonts w:hint="eastAsia" w:ascii="仿宋_GB2312" w:eastAsia="仿宋_GB2312" w:cs="仿宋_GB2312"/>
          <w:color w:val="auto"/>
          <w:sz w:val="28"/>
          <w:szCs w:val="28"/>
          <w:highlight w:val="none"/>
          <w:lang w:val="en-US" w:eastAsia="zh-CN"/>
        </w:rPr>
        <w:t>3.</w:t>
      </w:r>
      <w:r>
        <w:rPr>
          <w:rFonts w:hint="eastAsia" w:ascii="仿宋_GB2312" w:eastAsia="仿宋_GB2312" w:cs="仿宋_GB2312"/>
          <w:color w:val="auto"/>
          <w:sz w:val="28"/>
          <w:szCs w:val="28"/>
          <w:highlight w:val="none"/>
        </w:rPr>
        <w:t>第4项数据,分专业生师比=分专业在校本科生数/分专业教师总数。分专业教师总数=分专业专任教师数+聘请校外教师数</w:t>
      </w:r>
      <w:r>
        <w:rPr>
          <w:rFonts w:hint="eastAsia" w:ascii="仿宋_GB2312" w:eastAsia="仿宋_GB2312" w:cs="仿宋_GB2312"/>
          <w:color w:val="auto"/>
          <w:sz w:val="28"/>
          <w:szCs w:val="28"/>
          <w:highlight w:val="none"/>
          <w:lang w:val="en-US" w:eastAsia="zh-CN"/>
        </w:rPr>
        <w:t>*</w:t>
      </w:r>
      <w:r>
        <w:rPr>
          <w:rFonts w:hint="eastAsia" w:ascii="仿宋_GB2312" w:eastAsia="仿宋_GB2312" w:cs="仿宋_GB2312"/>
          <w:color w:val="auto"/>
          <w:sz w:val="28"/>
          <w:szCs w:val="28"/>
          <w:highlight w:val="none"/>
        </w:rPr>
        <w:t>0.5。分专业专任教师指具有教师资格、主要从事本专业教学工作的人员。单名教师最多归属一个专业，参与多专业教学的教师不得在多专业中重复计算。对于按专业类招生或未将教师分到专业的学校专业，分专业生师比暂时按照所在专业类生师比计。专业类生师比=专业类内所有专业在校本科生数</w:t>
      </w:r>
      <w:r>
        <w:rPr>
          <w:rFonts w:hint="eastAsia" w:ascii="仿宋_GB2312" w:eastAsia="仿宋_GB2312" w:cs="仿宋_GB2312"/>
          <w:color w:val="auto"/>
          <w:sz w:val="28"/>
          <w:szCs w:val="28"/>
          <w:highlight w:val="none"/>
          <w:lang w:val="en-US" w:eastAsia="zh-CN"/>
        </w:rPr>
        <w:t>/</w:t>
      </w:r>
      <w:r>
        <w:rPr>
          <w:rFonts w:hint="eastAsia" w:ascii="仿宋_GB2312" w:eastAsia="仿宋_GB2312" w:cs="仿宋_GB2312"/>
          <w:color w:val="auto"/>
          <w:sz w:val="28"/>
          <w:szCs w:val="28"/>
          <w:highlight w:val="none"/>
        </w:rPr>
        <w:t>专业类教师总数。</w:t>
      </w:r>
    </w:p>
    <w:p>
      <w:pPr>
        <w:pStyle w:val="4"/>
        <w:widowControl/>
        <w:shd w:val="clear" w:color="auto" w:fill="FFFFFF"/>
        <w:spacing w:before="120" w:beforeLines="50" w:beforeAutospacing="0" w:after="120" w:afterLines="50" w:afterAutospacing="0" w:line="400" w:lineRule="atLeast"/>
        <w:ind w:firstLine="568"/>
        <w:jc w:val="both"/>
        <w:rPr>
          <w:rFonts w:hint="eastAsia" w:ascii="仿宋_GB2312" w:eastAsia="仿宋_GB2312" w:cs="仿宋_GB2312"/>
          <w:color w:val="auto"/>
          <w:sz w:val="28"/>
          <w:szCs w:val="28"/>
          <w:highlight w:val="none"/>
          <w:shd w:val="clear" w:color="auto" w:fill="FFFFFF"/>
        </w:rPr>
      </w:pPr>
      <w:r>
        <w:rPr>
          <w:rFonts w:hint="eastAsia" w:ascii="仿宋_GB2312" w:eastAsia="仿宋_GB2312" w:cs="仿宋_GB2312"/>
          <w:color w:val="auto"/>
          <w:sz w:val="28"/>
          <w:szCs w:val="28"/>
          <w:highlight w:val="none"/>
          <w:shd w:val="clear" w:color="auto" w:fill="FFFFFF"/>
          <w:lang w:val="en-US" w:eastAsia="zh-CN"/>
        </w:rPr>
        <w:t>4</w:t>
      </w:r>
      <w:r>
        <w:rPr>
          <w:rFonts w:hint="eastAsia" w:ascii="仿宋_GB2312" w:eastAsia="仿宋_GB2312" w:cs="仿宋_GB2312"/>
          <w:color w:val="auto"/>
          <w:sz w:val="28"/>
          <w:szCs w:val="28"/>
          <w:highlight w:val="none"/>
          <w:shd w:val="clear" w:color="auto" w:fill="FFFFFF"/>
        </w:rPr>
        <w:t>.第10项数据参照《教育部办公厅关于开展普通高等学校本科教学工作合格评估的通知》（教高厅〔2011〕2号）文件，是指学校开展普通本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pStyle w:val="4"/>
        <w:widowControl/>
        <w:shd w:val="clear" w:color="auto" w:fill="FFFFFF"/>
        <w:spacing w:before="120" w:beforeLines="50" w:beforeAutospacing="0" w:after="120" w:afterLines="50" w:afterAutospacing="0" w:line="400" w:lineRule="atLeast"/>
        <w:ind w:firstLine="568"/>
        <w:jc w:val="both"/>
        <w:rPr>
          <w:rFonts w:hint="default" w:ascii="仿宋_GB2312" w:eastAsia="仿宋_GB2312" w:cs="仿宋_GB2312"/>
          <w:color w:val="auto"/>
          <w:sz w:val="28"/>
          <w:szCs w:val="28"/>
          <w:highlight w:val="none"/>
          <w:shd w:val="clear" w:color="auto" w:fill="FFFFFF"/>
          <w:lang w:val="en-US" w:eastAsia="zh-CN"/>
        </w:rPr>
      </w:pPr>
      <w:r>
        <w:rPr>
          <w:rFonts w:hint="eastAsia" w:ascii="仿宋_GB2312" w:eastAsia="仿宋_GB2312" w:cs="仿宋_GB2312"/>
          <w:color w:val="auto"/>
          <w:sz w:val="28"/>
          <w:szCs w:val="28"/>
          <w:highlight w:val="none"/>
          <w:shd w:val="clear" w:color="auto" w:fill="FFFFFF"/>
          <w:lang w:val="en-US" w:eastAsia="zh-CN"/>
        </w:rPr>
        <w:t>5.分专业名称为教育部正式备案或审批的普通高等学校本科专业名称。</w:t>
      </w:r>
    </w:p>
    <w:p>
      <w:pPr>
        <w:pStyle w:val="4"/>
        <w:widowControl/>
        <w:shd w:val="clear" w:color="auto" w:fill="FFFFFF"/>
        <w:spacing w:before="120" w:beforeLines="50" w:beforeAutospacing="0" w:after="120" w:afterLines="50" w:afterAutospacing="0" w:line="400" w:lineRule="atLeast"/>
        <w:ind w:firstLine="585"/>
        <w:jc w:val="both"/>
        <w:rPr>
          <w:rFonts w:ascii="仿宋_GB2312" w:eastAsia="仿宋_GB2312" w:cs="仿宋_GB2312"/>
          <w:color w:val="auto"/>
          <w:sz w:val="28"/>
          <w:szCs w:val="28"/>
          <w:highlight w:val="none"/>
          <w:shd w:val="clear" w:color="auto" w:fill="FFFFFF"/>
        </w:rPr>
      </w:pPr>
      <w:r>
        <w:rPr>
          <w:rFonts w:hint="eastAsia" w:ascii="仿宋_GB2312" w:eastAsia="仿宋_GB2312" w:cs="仿宋_GB2312"/>
          <w:color w:val="auto"/>
          <w:sz w:val="28"/>
          <w:szCs w:val="28"/>
          <w:highlight w:val="none"/>
          <w:shd w:val="clear" w:color="auto" w:fill="FFFFFF"/>
          <w:lang w:val="en-US" w:eastAsia="zh-CN"/>
        </w:rPr>
        <w:t>6</w:t>
      </w:r>
      <w:r>
        <w:rPr>
          <w:rFonts w:hint="eastAsia" w:ascii="仿宋_GB2312" w:eastAsia="仿宋_GB2312" w:cs="仿宋_GB2312"/>
          <w:color w:val="auto"/>
          <w:sz w:val="28"/>
          <w:szCs w:val="28"/>
          <w:highlight w:val="none"/>
          <w:shd w:val="clear" w:color="auto" w:fill="FFFFFF"/>
        </w:rPr>
        <w:t>.第2</w:t>
      </w:r>
      <w:r>
        <w:rPr>
          <w:rFonts w:hint="eastAsia" w:ascii="仿宋_GB2312" w:eastAsia="仿宋_GB2312" w:cs="仿宋_GB2312"/>
          <w:color w:val="auto"/>
          <w:sz w:val="28"/>
          <w:szCs w:val="28"/>
          <w:highlight w:val="none"/>
          <w:shd w:val="clear" w:color="auto" w:fill="FFFFFF"/>
          <w:lang w:val="en-US" w:eastAsia="zh-CN"/>
        </w:rPr>
        <w:t>4</w:t>
      </w:r>
      <w:r>
        <w:rPr>
          <w:rFonts w:hint="eastAsia" w:ascii="仿宋_GB2312" w:eastAsia="仿宋_GB2312" w:cs="仿宋_GB2312"/>
          <w:color w:val="auto"/>
          <w:sz w:val="28"/>
          <w:szCs w:val="28"/>
          <w:highlight w:val="none"/>
          <w:shd w:val="clear" w:color="auto" w:fill="FFFFFF"/>
        </w:rPr>
        <w:t>、2</w:t>
      </w:r>
      <w:r>
        <w:rPr>
          <w:rFonts w:hint="eastAsia" w:ascii="仿宋_GB2312" w:eastAsia="仿宋_GB2312" w:cs="仿宋_GB2312"/>
          <w:color w:val="auto"/>
          <w:sz w:val="28"/>
          <w:szCs w:val="28"/>
          <w:highlight w:val="none"/>
          <w:shd w:val="clear" w:color="auto" w:fill="FFFFFF"/>
          <w:lang w:val="en-US" w:eastAsia="zh-CN"/>
        </w:rPr>
        <w:t>5</w:t>
      </w:r>
      <w:r>
        <w:rPr>
          <w:rFonts w:hint="eastAsia" w:ascii="仿宋_GB2312" w:eastAsia="仿宋_GB2312" w:cs="仿宋_GB2312"/>
          <w:color w:val="auto"/>
          <w:sz w:val="28"/>
          <w:szCs w:val="28"/>
          <w:highlight w:val="none"/>
          <w:shd w:val="clear" w:color="auto" w:fill="FFFFFF"/>
        </w:rPr>
        <w:t>两项数据本次可视本校此项工作基础酌情公布。</w:t>
      </w:r>
    </w:p>
    <w:p>
      <w:pPr>
        <w:pStyle w:val="4"/>
        <w:widowControl/>
        <w:shd w:val="clear" w:color="auto" w:fill="FFFFFF"/>
        <w:spacing w:before="120" w:beforeLines="50" w:beforeAutospacing="0" w:after="120" w:afterLines="50" w:afterAutospacing="0" w:line="400" w:lineRule="atLeast"/>
        <w:ind w:firstLine="585"/>
        <w:jc w:val="left"/>
        <w:rPr>
          <w:rFonts w:hint="eastAsia" w:ascii="方正小标宋简体" w:hAnsi="宋体" w:eastAsia="方正小标宋简体"/>
          <w:b/>
          <w:color w:val="auto"/>
          <w:sz w:val="44"/>
          <w:szCs w:val="44"/>
          <w:highlight w:val="none"/>
        </w:rPr>
      </w:pPr>
      <w:r>
        <w:rPr>
          <w:rFonts w:hint="eastAsia" w:ascii="仿宋_GB2312" w:eastAsia="仿宋_GB2312" w:cs="仿宋_GB2312"/>
          <w:color w:val="auto"/>
          <w:sz w:val="28"/>
          <w:szCs w:val="28"/>
          <w:highlight w:val="none"/>
          <w:shd w:val="clear" w:color="auto" w:fill="FFFFFF"/>
          <w:lang w:val="en-US" w:eastAsia="zh-CN"/>
        </w:rPr>
        <w:t>7</w:t>
      </w:r>
      <w:r>
        <w:rPr>
          <w:rFonts w:hint="eastAsia" w:ascii="仿宋_GB2312" w:eastAsia="仿宋_GB2312" w:cs="仿宋_GB2312"/>
          <w:color w:val="auto"/>
          <w:sz w:val="28"/>
          <w:szCs w:val="28"/>
          <w:highlight w:val="none"/>
          <w:shd w:val="clear" w:color="auto" w:fill="FFFFFF"/>
        </w:rPr>
        <w:t>.质量报告中的各项数据均保留小数点后两位数字。</w:t>
      </w:r>
    </w:p>
    <w:p>
      <w:pPr>
        <w:pStyle w:val="4"/>
        <w:keepNext w:val="0"/>
        <w:keepLines w:val="0"/>
        <w:pageBreakBefore w:val="0"/>
        <w:widowControl/>
        <w:shd w:val="clear" w:color="auto" w:fill="FFFFFF"/>
        <w:kinsoku/>
        <w:wordWrap/>
        <w:overflowPunct/>
        <w:topLinePunct w:val="0"/>
        <w:autoSpaceDE/>
        <w:autoSpaceDN/>
        <w:bidi w:val="0"/>
        <w:adjustRightInd/>
        <w:snapToGrid/>
        <w:spacing w:before="143" w:beforeLines="50" w:beforeAutospacing="0" w:after="143" w:afterLines="50" w:afterAutospacing="0" w:line="400" w:lineRule="atLeast"/>
        <w:ind w:left="0" w:leftChars="0" w:right="0" w:rightChars="0" w:firstLine="0" w:firstLineChars="0"/>
        <w:jc w:val="left"/>
        <w:textAlignment w:val="auto"/>
        <w:outlineLvl w:val="9"/>
        <w:rPr>
          <w:rFonts w:hint="eastAsia" w:ascii="仿宋_GB2312" w:eastAsia="仿宋_GB2312" w:cs="宋体"/>
          <w:bCs/>
          <w:color w:val="auto"/>
          <w:kern w:val="0"/>
          <w:sz w:val="28"/>
          <w:szCs w:val="28"/>
          <w:highlight w:val="none"/>
          <w:lang w:val="en-US" w:eastAsia="zh-CN"/>
        </w:rPr>
      </w:pPr>
      <w:r>
        <w:rPr>
          <w:rFonts w:hint="eastAsia" w:ascii="方正小标宋简体" w:hAnsi="宋体" w:eastAsia="方正小标宋简体"/>
          <w:b/>
          <w:color w:val="auto"/>
          <w:sz w:val="44"/>
          <w:szCs w:val="44"/>
          <w:highlight w:val="none"/>
        </w:rPr>
        <w:br w:type="page"/>
      </w:r>
      <w:r>
        <w:rPr>
          <w:rFonts w:hint="eastAsia" w:ascii="仿宋_GB2312" w:eastAsia="仿宋_GB2312" w:cs="宋体"/>
          <w:bCs/>
          <w:color w:val="auto"/>
          <w:kern w:val="0"/>
          <w:sz w:val="28"/>
          <w:szCs w:val="28"/>
          <w:highlight w:val="none"/>
          <w:lang w:eastAsia="zh-CN"/>
        </w:rPr>
        <w:t>附件</w:t>
      </w:r>
      <w:r>
        <w:rPr>
          <w:rFonts w:hint="eastAsia" w:ascii="仿宋_GB2312" w:eastAsia="仿宋_GB2312" w:cs="宋体"/>
          <w:bCs/>
          <w:color w:val="auto"/>
          <w:kern w:val="0"/>
          <w:sz w:val="28"/>
          <w:szCs w:val="28"/>
          <w:highlight w:val="none"/>
          <w:lang w:val="en-US" w:eastAsia="zh-CN"/>
        </w:rPr>
        <w:t>3</w:t>
      </w:r>
    </w:p>
    <w:p>
      <w:pPr>
        <w:pStyle w:val="4"/>
        <w:keepNext w:val="0"/>
        <w:keepLines w:val="0"/>
        <w:pageBreakBefore w:val="0"/>
        <w:widowControl/>
        <w:shd w:val="clear" w:color="auto" w:fill="FFFFFF"/>
        <w:kinsoku/>
        <w:wordWrap/>
        <w:overflowPunct/>
        <w:topLinePunct w:val="0"/>
        <w:autoSpaceDE/>
        <w:autoSpaceDN/>
        <w:bidi w:val="0"/>
        <w:adjustRightInd/>
        <w:snapToGrid/>
        <w:spacing w:before="143" w:beforeLines="50" w:beforeAutospacing="0" w:after="143" w:afterLines="50" w:afterAutospacing="0" w:line="400" w:lineRule="atLeast"/>
        <w:ind w:left="0" w:leftChars="0" w:right="0" w:rightChars="0" w:firstLine="0" w:firstLineChars="0"/>
        <w:jc w:val="left"/>
        <w:textAlignment w:val="auto"/>
        <w:outlineLvl w:val="9"/>
        <w:rPr>
          <w:rFonts w:hint="eastAsia" w:ascii="仿宋_GB2312" w:eastAsia="仿宋_GB2312" w:cs="宋体"/>
          <w:bCs/>
          <w:color w:val="auto"/>
          <w:kern w:val="0"/>
          <w:sz w:val="28"/>
          <w:szCs w:val="28"/>
          <w:highlight w:val="none"/>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43" w:beforeLines="50" w:beforeAutospacing="0" w:after="143" w:afterLines="50" w:afterAutospacing="0" w:line="400" w:lineRule="atLeast"/>
        <w:ind w:left="0" w:leftChars="0" w:right="0" w:rightChars="0" w:firstLine="0" w:firstLineChars="0"/>
        <w:jc w:val="center"/>
        <w:textAlignment w:val="auto"/>
        <w:outlineLvl w:val="9"/>
        <w:rPr>
          <w:rFonts w:hint="default" w:ascii="仿宋_GB2312" w:eastAsia="仿宋_GB2312" w:cs="宋体"/>
          <w:bCs/>
          <w:color w:val="auto"/>
          <w:kern w:val="0"/>
          <w:sz w:val="28"/>
          <w:szCs w:val="28"/>
          <w:highlight w:val="none"/>
          <w:lang w:val="en-US" w:eastAsia="zh-CN"/>
        </w:rPr>
      </w:pPr>
      <w:r>
        <w:rPr>
          <w:rFonts w:hint="eastAsia" w:ascii="仿宋_GB2312" w:eastAsia="仿宋_GB2312" w:cs="宋体"/>
          <w:bCs/>
          <w:color w:val="auto"/>
          <w:kern w:val="0"/>
          <w:sz w:val="28"/>
          <w:szCs w:val="28"/>
          <w:highlight w:val="none"/>
          <w:lang w:val="en-US" w:eastAsia="zh-CN"/>
        </w:rPr>
        <w:t>普通高等学校2019-2020学年本科教学质量报告发布情况汇总表</w:t>
      </w:r>
    </w:p>
    <w:tbl>
      <w:tblPr>
        <w:tblStyle w:val="6"/>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序号</w:t>
            </w: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高校名称</w:t>
            </w: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发布时间</w:t>
            </w: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网站名称</w:t>
            </w: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发布网址</w:t>
            </w: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lang w:eastAsia="zh-CN"/>
              </w:rPr>
            </w:pPr>
            <w:r>
              <w:rPr>
                <w:rFonts w:hint="eastAsia" w:ascii="仿宋_GB2312" w:eastAsia="仿宋_GB2312" w:cs="宋体"/>
                <w:bCs/>
                <w:color w:val="auto"/>
                <w:kern w:val="0"/>
                <w:sz w:val="28"/>
                <w:szCs w:val="2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c>
          <w:tcPr>
            <w:tcW w:w="1575" w:type="dxa"/>
          </w:tcPr>
          <w:p>
            <w:pPr>
              <w:pStyle w:val="4"/>
              <w:keepNext w:val="0"/>
              <w:keepLines w:val="0"/>
              <w:pageBreakBefore w:val="0"/>
              <w:widowControl/>
              <w:kinsoku/>
              <w:wordWrap/>
              <w:overflowPunct/>
              <w:topLinePunct w:val="0"/>
              <w:autoSpaceDE/>
              <w:autoSpaceDN/>
              <w:bidi w:val="0"/>
              <w:adjustRightInd/>
              <w:snapToGrid/>
              <w:spacing w:before="143" w:beforeLines="50" w:beforeAutospacing="0" w:after="143" w:afterLines="50" w:afterAutospacing="0" w:line="400" w:lineRule="atLeast"/>
              <w:ind w:right="0" w:rightChars="0"/>
              <w:jc w:val="center"/>
              <w:textAlignment w:val="auto"/>
              <w:outlineLvl w:val="9"/>
              <w:rPr>
                <w:rFonts w:hint="eastAsia" w:ascii="仿宋_GB2312" w:eastAsia="仿宋_GB2312" w:cs="宋体"/>
                <w:bCs/>
                <w:color w:val="auto"/>
                <w:kern w:val="0"/>
                <w:sz w:val="28"/>
                <w:szCs w:val="28"/>
                <w:highlight w:val="none"/>
                <w:vertAlign w:val="baseline"/>
              </w:rPr>
            </w:pPr>
          </w:p>
        </w:tc>
      </w:tr>
    </w:tbl>
    <w:p>
      <w:pPr>
        <w:rPr>
          <w:rFonts w:hint="eastAsia" w:ascii="方正小标宋简体" w:hAnsi="宋体" w:eastAsia="方正小标宋简体"/>
          <w:b/>
          <w:color w:val="auto"/>
          <w:sz w:val="44"/>
          <w:szCs w:val="44"/>
          <w:highlight w:val="none"/>
        </w:rPr>
      </w:pPr>
    </w:p>
    <w:p>
      <w:pPr>
        <w:rPr>
          <w:rFonts w:hint="eastAsia" w:ascii="方正小标宋简体" w:hAnsi="宋体" w:eastAsia="方正小标宋简体"/>
          <w:b/>
          <w:color w:val="auto"/>
          <w:sz w:val="44"/>
          <w:szCs w:val="44"/>
          <w:highlight w:val="none"/>
        </w:rPr>
      </w:pPr>
      <w:r>
        <w:rPr>
          <w:rFonts w:hint="eastAsia" w:ascii="方正小标宋简体" w:hAnsi="宋体" w:eastAsia="方正小标宋简体"/>
          <w:b/>
          <w:color w:val="auto"/>
          <w:sz w:val="44"/>
          <w:szCs w:val="44"/>
          <w:highlight w:val="none"/>
        </w:rPr>
        <w:br w:type="page"/>
      </w:r>
    </w:p>
    <w:p>
      <w:pPr>
        <w:adjustRightInd w:val="0"/>
        <w:snapToGrid w:val="0"/>
        <w:spacing w:line="600" w:lineRule="exact"/>
        <w:jc w:val="center"/>
        <w:rPr>
          <w:rFonts w:hint="eastAsia" w:ascii="方正小标宋简体" w:hAnsi="宋体" w:eastAsia="方正小标宋简体"/>
          <w:b/>
          <w:color w:val="auto"/>
          <w:sz w:val="44"/>
          <w:szCs w:val="44"/>
          <w:highlight w:val="none"/>
        </w:rPr>
      </w:pPr>
      <w:r>
        <w:rPr>
          <w:rFonts w:hint="eastAsia" w:ascii="方正小标宋简体" w:hAnsi="宋体" w:eastAsia="方正小标宋简体"/>
          <w:b/>
          <w:color w:val="auto"/>
          <w:sz w:val="44"/>
          <w:szCs w:val="44"/>
          <w:highlight w:val="none"/>
        </w:rPr>
        <w:t>关于做好</w:t>
      </w:r>
      <w:r>
        <w:rPr>
          <w:rFonts w:hint="eastAsia" w:ascii="方正小标宋简体" w:hAnsi="宋体" w:eastAsia="方正小标宋简体"/>
          <w:b/>
          <w:color w:val="auto"/>
          <w:sz w:val="44"/>
          <w:szCs w:val="44"/>
          <w:highlight w:val="none"/>
          <w:lang w:eastAsia="zh-CN"/>
        </w:rPr>
        <w:t>2019-2020</w:t>
      </w:r>
      <w:r>
        <w:rPr>
          <w:rFonts w:hint="eastAsia" w:ascii="方正小标宋简体" w:hAnsi="宋体" w:eastAsia="方正小标宋简体"/>
          <w:b/>
          <w:color w:val="auto"/>
          <w:sz w:val="44"/>
          <w:szCs w:val="44"/>
          <w:highlight w:val="none"/>
        </w:rPr>
        <w:t>学年</w:t>
      </w:r>
    </w:p>
    <w:p>
      <w:pPr>
        <w:adjustRightInd w:val="0"/>
        <w:snapToGrid w:val="0"/>
        <w:spacing w:line="600" w:lineRule="exact"/>
        <w:jc w:val="center"/>
        <w:rPr>
          <w:rFonts w:hint="eastAsia" w:ascii="方正小标宋简体" w:hAnsi="宋体" w:eastAsia="方正小标宋简体"/>
          <w:b/>
          <w:color w:val="auto"/>
          <w:sz w:val="44"/>
          <w:szCs w:val="44"/>
          <w:highlight w:val="none"/>
        </w:rPr>
      </w:pPr>
      <w:r>
        <w:rPr>
          <w:rFonts w:hint="eastAsia" w:ascii="方正小标宋简体" w:hAnsi="宋体" w:eastAsia="方正小标宋简体"/>
          <w:b/>
          <w:color w:val="auto"/>
          <w:sz w:val="44"/>
          <w:szCs w:val="44"/>
          <w:highlight w:val="none"/>
        </w:rPr>
        <w:t>本科高等教育质量报告工作的通知</w:t>
      </w:r>
    </w:p>
    <w:p>
      <w:pPr>
        <w:adjustRightInd w:val="0"/>
        <w:snapToGrid w:val="0"/>
        <w:spacing w:line="600" w:lineRule="exact"/>
        <w:rPr>
          <w:rFonts w:hint="eastAsia" w:ascii="仿宋_GB2312"/>
          <w:color w:val="auto"/>
          <w:szCs w:val="32"/>
          <w:highlight w:val="none"/>
        </w:rPr>
      </w:pPr>
    </w:p>
    <w:p>
      <w:pPr>
        <w:adjustRightInd w:val="0"/>
        <w:snapToGrid w:val="0"/>
        <w:spacing w:line="600" w:lineRule="exact"/>
        <w:rPr>
          <w:rFonts w:hint="eastAsia" w:ascii="仿宋_GB2312"/>
          <w:color w:val="auto"/>
          <w:szCs w:val="32"/>
          <w:highlight w:val="none"/>
        </w:rPr>
      </w:pPr>
      <w:r>
        <w:rPr>
          <w:rFonts w:hint="eastAsia" w:ascii="仿宋_GB2312"/>
          <w:color w:val="auto"/>
          <w:szCs w:val="32"/>
          <w:highlight w:val="none"/>
        </w:rPr>
        <w:t>各本科院校：</w:t>
      </w:r>
    </w:p>
    <w:p>
      <w:pPr>
        <w:adjustRightInd w:val="0"/>
        <w:snapToGrid w:val="0"/>
        <w:spacing w:line="600" w:lineRule="exact"/>
        <w:ind w:firstLine="555"/>
        <w:rPr>
          <w:rFonts w:hint="eastAsia" w:ascii="仿宋_GB2312"/>
          <w:color w:val="auto"/>
          <w:szCs w:val="32"/>
          <w:highlight w:val="none"/>
        </w:rPr>
      </w:pPr>
      <w:r>
        <w:rPr>
          <w:rFonts w:hint="eastAsia" w:ascii="仿宋_GB2312"/>
          <w:color w:val="auto"/>
          <w:szCs w:val="32"/>
          <w:highlight w:val="none"/>
        </w:rPr>
        <w:t>根据国务院教育督导委员会办公室有关文件精神，为进一步做好自治区</w:t>
      </w:r>
      <w:r>
        <w:rPr>
          <w:rFonts w:hint="eastAsia" w:ascii="仿宋_GB2312"/>
          <w:color w:val="auto"/>
          <w:szCs w:val="32"/>
          <w:highlight w:val="none"/>
          <w:lang w:eastAsia="zh-CN"/>
        </w:rPr>
        <w:t>2019-2020</w:t>
      </w:r>
      <w:r>
        <w:rPr>
          <w:rFonts w:hint="eastAsia" w:ascii="仿宋_GB2312"/>
          <w:color w:val="auto"/>
          <w:szCs w:val="32"/>
          <w:highlight w:val="none"/>
        </w:rPr>
        <w:t>学年本科高等教育质量报告工作，现将有关事宜通知如下:</w:t>
      </w:r>
    </w:p>
    <w:p>
      <w:pPr>
        <w:adjustRightInd w:val="0"/>
        <w:snapToGrid w:val="0"/>
        <w:spacing w:line="600" w:lineRule="exact"/>
        <w:ind w:firstLine="555"/>
        <w:rPr>
          <w:rFonts w:hint="eastAsia" w:ascii="黑体" w:hAnsi="黑体" w:eastAsia="黑体"/>
          <w:b/>
          <w:color w:val="auto"/>
          <w:szCs w:val="32"/>
          <w:highlight w:val="none"/>
        </w:rPr>
      </w:pPr>
      <w:r>
        <w:rPr>
          <w:rFonts w:hint="eastAsia" w:ascii="黑体" w:hAnsi="黑体" w:eastAsia="黑体"/>
          <w:b/>
          <w:color w:val="auto"/>
          <w:szCs w:val="32"/>
          <w:highlight w:val="none"/>
        </w:rPr>
        <w:t>一、继续做好质量报告工作</w:t>
      </w:r>
    </w:p>
    <w:p>
      <w:pPr>
        <w:adjustRightInd w:val="0"/>
        <w:snapToGrid w:val="0"/>
        <w:spacing w:line="600" w:lineRule="exact"/>
        <w:ind w:firstLine="555"/>
        <w:jc w:val="both"/>
        <w:rPr>
          <w:rFonts w:hint="eastAsia" w:ascii="仿宋_GB2312"/>
          <w:color w:val="auto"/>
          <w:szCs w:val="32"/>
          <w:highlight w:val="none"/>
        </w:rPr>
      </w:pPr>
      <w:r>
        <w:rPr>
          <w:rFonts w:hint="eastAsia" w:ascii="仿宋_GB2312"/>
          <w:color w:val="auto"/>
          <w:szCs w:val="32"/>
          <w:highlight w:val="none"/>
        </w:rPr>
        <w:t>各本科院校要高度重视高等教育质量报告撰写工作，根据国务院教育督导委员会办公室《关于普通高等学校编制发布20</w:t>
      </w:r>
      <w:r>
        <w:rPr>
          <w:rFonts w:hint="eastAsia" w:ascii="仿宋_GB2312"/>
          <w:color w:val="auto"/>
          <w:szCs w:val="32"/>
          <w:highlight w:val="none"/>
          <w:lang w:val="en-US" w:eastAsia="zh-CN"/>
        </w:rPr>
        <w:t>19</w:t>
      </w:r>
      <w:r>
        <w:rPr>
          <w:rFonts w:hint="eastAsia" w:ascii="仿宋_GB2312"/>
          <w:color w:val="auto"/>
          <w:szCs w:val="32"/>
          <w:highlight w:val="none"/>
        </w:rPr>
        <w:t>-20</w:t>
      </w:r>
      <w:r>
        <w:rPr>
          <w:rFonts w:hint="eastAsia" w:ascii="仿宋_GB2312"/>
          <w:color w:val="auto"/>
          <w:szCs w:val="32"/>
          <w:highlight w:val="none"/>
          <w:lang w:val="en-US" w:eastAsia="zh-CN"/>
        </w:rPr>
        <w:t>20</w:t>
      </w:r>
      <w:r>
        <w:rPr>
          <w:rFonts w:hint="eastAsia" w:ascii="仿宋_GB2312"/>
          <w:color w:val="auto"/>
          <w:szCs w:val="32"/>
          <w:highlight w:val="none"/>
        </w:rPr>
        <w:t>学年本科教学质量报告</w:t>
      </w:r>
      <w:r>
        <w:rPr>
          <w:rFonts w:hint="eastAsia" w:ascii="仿宋_GB2312"/>
          <w:color w:val="auto"/>
          <w:szCs w:val="32"/>
          <w:highlight w:val="none"/>
          <w:lang w:eastAsia="zh-CN"/>
        </w:rPr>
        <w:t>的通知</w:t>
      </w:r>
      <w:r>
        <w:rPr>
          <w:rFonts w:hint="eastAsia" w:ascii="仿宋_GB2312"/>
          <w:color w:val="auto"/>
          <w:szCs w:val="32"/>
          <w:highlight w:val="none"/>
        </w:rPr>
        <w:t>》（国教督办函〔20</w:t>
      </w:r>
      <w:r>
        <w:rPr>
          <w:rFonts w:hint="eastAsia" w:ascii="仿宋_GB2312"/>
          <w:color w:val="auto"/>
          <w:szCs w:val="32"/>
          <w:highlight w:val="none"/>
          <w:lang w:val="en-US" w:eastAsia="zh-CN"/>
        </w:rPr>
        <w:t>20</w:t>
      </w:r>
      <w:r>
        <w:rPr>
          <w:rFonts w:hint="eastAsia" w:ascii="仿宋_GB2312"/>
          <w:color w:val="auto"/>
          <w:szCs w:val="32"/>
          <w:highlight w:val="none"/>
        </w:rPr>
        <w:t>〕</w:t>
      </w:r>
      <w:r>
        <w:rPr>
          <w:rFonts w:hint="eastAsia" w:ascii="仿宋_GB2312"/>
          <w:color w:val="auto"/>
          <w:szCs w:val="32"/>
          <w:highlight w:val="none"/>
          <w:lang w:val="en-US" w:eastAsia="zh-CN"/>
        </w:rPr>
        <w:t>42</w:t>
      </w:r>
      <w:r>
        <w:rPr>
          <w:rFonts w:hint="eastAsia" w:ascii="仿宋_GB2312"/>
          <w:color w:val="auto"/>
          <w:szCs w:val="32"/>
          <w:highlight w:val="none"/>
        </w:rPr>
        <w:t>号）精神，认真学习领会、准确把握“普通高等学校201</w:t>
      </w:r>
      <w:r>
        <w:rPr>
          <w:rFonts w:hint="eastAsia" w:ascii="仿宋_GB2312"/>
          <w:color w:val="auto"/>
          <w:szCs w:val="32"/>
          <w:highlight w:val="none"/>
          <w:lang w:val="en-US" w:eastAsia="zh-CN"/>
        </w:rPr>
        <w:t>9</w:t>
      </w:r>
      <w:r>
        <w:rPr>
          <w:rFonts w:hint="eastAsia" w:ascii="仿宋_GB2312"/>
          <w:color w:val="auto"/>
          <w:szCs w:val="32"/>
          <w:highlight w:val="none"/>
        </w:rPr>
        <w:t>-20</w:t>
      </w:r>
      <w:r>
        <w:rPr>
          <w:rFonts w:hint="eastAsia" w:ascii="仿宋_GB2312"/>
          <w:color w:val="auto"/>
          <w:szCs w:val="32"/>
          <w:highlight w:val="none"/>
          <w:lang w:val="en-US" w:eastAsia="zh-CN"/>
        </w:rPr>
        <w:t>20</w:t>
      </w:r>
      <w:r>
        <w:rPr>
          <w:rFonts w:hint="eastAsia" w:ascii="仿宋_GB2312"/>
          <w:color w:val="auto"/>
          <w:szCs w:val="32"/>
          <w:highlight w:val="none"/>
        </w:rPr>
        <w:t>学年本科教学质量报告基本要求”“普通高等学校201</w:t>
      </w:r>
      <w:r>
        <w:rPr>
          <w:rFonts w:hint="eastAsia" w:ascii="仿宋_GB2312"/>
          <w:color w:val="auto"/>
          <w:szCs w:val="32"/>
          <w:highlight w:val="none"/>
          <w:lang w:val="en-US" w:eastAsia="zh-CN"/>
        </w:rPr>
        <w:t>9</w:t>
      </w:r>
      <w:r>
        <w:rPr>
          <w:rFonts w:hint="eastAsia" w:ascii="仿宋_GB2312"/>
          <w:color w:val="auto"/>
          <w:szCs w:val="32"/>
          <w:highlight w:val="none"/>
        </w:rPr>
        <w:t>-20</w:t>
      </w:r>
      <w:r>
        <w:rPr>
          <w:rFonts w:hint="eastAsia" w:ascii="仿宋_GB2312"/>
          <w:color w:val="auto"/>
          <w:szCs w:val="32"/>
          <w:highlight w:val="none"/>
          <w:lang w:val="en-US" w:eastAsia="zh-CN"/>
        </w:rPr>
        <w:t>20</w:t>
      </w:r>
      <w:r>
        <w:rPr>
          <w:rFonts w:hint="eastAsia" w:ascii="仿宋_GB2312"/>
          <w:color w:val="auto"/>
          <w:szCs w:val="32"/>
          <w:highlight w:val="none"/>
        </w:rPr>
        <w:t>学年本科教学质量报告支撑数据目录”的最新要求</w:t>
      </w:r>
      <w:r>
        <w:rPr>
          <w:rFonts w:hint="eastAsia" w:ascii="仿宋_GB2312"/>
          <w:b w:val="0"/>
          <w:bCs/>
          <w:color w:val="auto"/>
          <w:szCs w:val="32"/>
          <w:highlight w:val="none"/>
        </w:rPr>
        <w:t>，</w:t>
      </w:r>
      <w:r>
        <w:rPr>
          <w:rFonts w:hint="eastAsia" w:ascii="仿宋_GB2312"/>
          <w:color w:val="auto"/>
          <w:szCs w:val="32"/>
          <w:highlight w:val="none"/>
        </w:rPr>
        <w:t>在总结以往年度质量报告撰写工作经验的基础上，进一步提高</w:t>
      </w:r>
      <w:r>
        <w:rPr>
          <w:rFonts w:hint="eastAsia" w:ascii="仿宋_GB2312"/>
          <w:color w:val="auto"/>
          <w:szCs w:val="32"/>
          <w:highlight w:val="none"/>
          <w:lang w:eastAsia="zh-CN"/>
        </w:rPr>
        <w:t>2019-2020</w:t>
      </w:r>
      <w:r>
        <w:rPr>
          <w:rFonts w:hint="eastAsia" w:ascii="仿宋_GB2312"/>
          <w:color w:val="auto"/>
          <w:szCs w:val="32"/>
          <w:highlight w:val="none"/>
        </w:rPr>
        <w:t>学年质量报告的质量和水平，促进教学质量的提升。</w:t>
      </w:r>
    </w:p>
    <w:p>
      <w:pPr>
        <w:adjustRightInd w:val="0"/>
        <w:snapToGrid w:val="0"/>
        <w:spacing w:line="600" w:lineRule="exact"/>
        <w:ind w:firstLine="555"/>
        <w:rPr>
          <w:rFonts w:hint="eastAsia" w:ascii="黑体" w:hAnsi="黑体" w:eastAsia="黑体"/>
          <w:b/>
          <w:color w:val="auto"/>
          <w:szCs w:val="32"/>
          <w:highlight w:val="none"/>
        </w:rPr>
      </w:pPr>
      <w:r>
        <w:rPr>
          <w:rFonts w:hint="eastAsia" w:ascii="黑体" w:hAnsi="黑体" w:eastAsia="黑体"/>
          <w:b/>
          <w:color w:val="auto"/>
          <w:szCs w:val="32"/>
          <w:highlight w:val="none"/>
        </w:rPr>
        <w:t>二、</w:t>
      </w:r>
      <w:r>
        <w:rPr>
          <w:rFonts w:hint="eastAsia" w:ascii="黑体" w:hAnsi="黑体" w:eastAsia="黑体"/>
          <w:b/>
          <w:color w:val="auto"/>
          <w:szCs w:val="32"/>
          <w:highlight w:val="none"/>
          <w:lang w:eastAsia="zh-CN"/>
        </w:rPr>
        <w:t>2019-2020</w:t>
      </w:r>
      <w:r>
        <w:rPr>
          <w:rFonts w:hint="eastAsia" w:ascii="黑体" w:hAnsi="黑体" w:eastAsia="黑体"/>
          <w:b/>
          <w:color w:val="auto"/>
          <w:szCs w:val="32"/>
          <w:highlight w:val="none"/>
        </w:rPr>
        <w:t>学年本科高等教育质量报告的主要内容</w:t>
      </w:r>
    </w:p>
    <w:p>
      <w:pPr>
        <w:adjustRightInd w:val="0"/>
        <w:snapToGrid w:val="0"/>
        <w:spacing w:line="600" w:lineRule="exact"/>
        <w:ind w:firstLine="411" w:firstLineChars="196"/>
        <w:rPr>
          <w:rFonts w:hint="eastAsia" w:ascii="仿宋_GB2312"/>
          <w:b/>
          <w:color w:val="auto"/>
          <w:szCs w:val="32"/>
          <w:highlight w:val="none"/>
        </w:rPr>
      </w:pPr>
      <w:r>
        <w:rPr>
          <w:rFonts w:hint="eastAsia" w:ascii="仿宋_GB2312"/>
          <w:color w:val="auto"/>
          <w:szCs w:val="32"/>
          <w:highlight w:val="none"/>
        </w:rPr>
        <w:t>各本科院校在</w:t>
      </w:r>
      <w:r>
        <w:rPr>
          <w:rFonts w:hint="eastAsia" w:ascii="仿宋_GB2312"/>
          <w:color w:val="auto"/>
          <w:szCs w:val="32"/>
          <w:highlight w:val="none"/>
          <w:lang w:eastAsia="zh-CN"/>
        </w:rPr>
        <w:t>2019-2020</w:t>
      </w:r>
      <w:r>
        <w:rPr>
          <w:rFonts w:hint="eastAsia" w:ascii="仿宋_GB2312"/>
          <w:color w:val="auto"/>
          <w:szCs w:val="32"/>
          <w:highlight w:val="none"/>
        </w:rPr>
        <w:t>学年质量报告中，要重点体现</w:t>
      </w:r>
      <w:r>
        <w:rPr>
          <w:rFonts w:hint="eastAsia" w:ascii="仿宋_GB2312"/>
          <w:b/>
          <w:bCs/>
          <w:color w:val="auto"/>
          <w:szCs w:val="32"/>
          <w:highlight w:val="none"/>
          <w:u w:val="single"/>
        </w:rPr>
        <w:t>本科教育基本情况、师资队伍与教学条件、教学建设与改革、</w:t>
      </w:r>
      <w:r>
        <w:rPr>
          <w:rFonts w:hint="eastAsia" w:ascii="仿宋_GB2312"/>
          <w:b/>
          <w:bCs/>
          <w:color w:val="auto"/>
          <w:szCs w:val="32"/>
          <w:highlight w:val="none"/>
          <w:u w:val="single"/>
          <w:lang w:eastAsia="zh-CN"/>
        </w:rPr>
        <w:t>专业培养能力、</w:t>
      </w:r>
      <w:r>
        <w:rPr>
          <w:rFonts w:hint="eastAsia" w:ascii="仿宋_GB2312"/>
          <w:b/>
          <w:bCs/>
          <w:color w:val="auto"/>
          <w:szCs w:val="32"/>
          <w:highlight w:val="none"/>
          <w:u w:val="single"/>
        </w:rPr>
        <w:t>质量保障体系、学生学习效果、</w:t>
      </w:r>
      <w:r>
        <w:rPr>
          <w:rFonts w:hint="eastAsia" w:ascii="仿宋_GB2312"/>
          <w:b/>
          <w:bCs/>
          <w:color w:val="auto"/>
          <w:szCs w:val="32"/>
          <w:highlight w:val="none"/>
          <w:u w:val="single"/>
          <w:lang w:eastAsia="zh-CN"/>
        </w:rPr>
        <w:t>民族教育情况、</w:t>
      </w:r>
      <w:r>
        <w:rPr>
          <w:rFonts w:hint="eastAsia" w:ascii="仿宋_GB2312"/>
          <w:b/>
          <w:bCs/>
          <w:color w:val="auto"/>
          <w:szCs w:val="32"/>
          <w:highlight w:val="none"/>
          <w:u w:val="single"/>
        </w:rPr>
        <w:t>特色发展和需要解决的问题</w:t>
      </w:r>
      <w:r>
        <w:rPr>
          <w:rFonts w:hint="eastAsia" w:ascii="仿宋_GB2312"/>
          <w:color w:val="auto"/>
          <w:szCs w:val="32"/>
          <w:highlight w:val="none"/>
        </w:rPr>
        <w:t>等方面的内容。</w:t>
      </w:r>
      <w:r>
        <w:rPr>
          <w:rFonts w:hint="eastAsia" w:ascii="仿宋_GB2312"/>
          <w:b/>
          <w:color w:val="auto"/>
          <w:szCs w:val="32"/>
          <w:highlight w:val="none"/>
        </w:rPr>
        <w:t>按照国教督办函〔20</w:t>
      </w:r>
      <w:r>
        <w:rPr>
          <w:rFonts w:hint="eastAsia" w:ascii="仿宋_GB2312"/>
          <w:b/>
          <w:color w:val="auto"/>
          <w:szCs w:val="32"/>
          <w:highlight w:val="none"/>
          <w:lang w:val="en-US" w:eastAsia="zh-CN"/>
        </w:rPr>
        <w:t>20</w:t>
      </w:r>
      <w:r>
        <w:rPr>
          <w:rFonts w:hint="eastAsia" w:ascii="仿宋_GB2312"/>
          <w:b/>
          <w:color w:val="auto"/>
          <w:szCs w:val="32"/>
          <w:highlight w:val="none"/>
        </w:rPr>
        <w:t>〕</w:t>
      </w:r>
      <w:r>
        <w:rPr>
          <w:rFonts w:hint="eastAsia" w:ascii="仿宋_GB2312"/>
          <w:b/>
          <w:color w:val="auto"/>
          <w:szCs w:val="32"/>
          <w:highlight w:val="none"/>
          <w:lang w:val="en-US" w:eastAsia="zh-CN"/>
        </w:rPr>
        <w:t>42</w:t>
      </w:r>
      <w:r>
        <w:rPr>
          <w:rFonts w:hint="eastAsia" w:ascii="仿宋_GB2312"/>
          <w:b/>
          <w:color w:val="auto"/>
          <w:szCs w:val="32"/>
          <w:highlight w:val="none"/>
        </w:rPr>
        <w:t>号文件的要求，请各院校质量报告撰写者一定要注意质量报告</w:t>
      </w:r>
      <w:r>
        <w:rPr>
          <w:rFonts w:hint="eastAsia" w:ascii="仿宋_GB2312"/>
          <w:b/>
          <w:color w:val="auto"/>
          <w:szCs w:val="32"/>
          <w:highlight w:val="none"/>
          <w:lang w:eastAsia="zh-CN"/>
        </w:rPr>
        <w:t>中新增内容</w:t>
      </w:r>
      <w:r>
        <w:rPr>
          <w:rFonts w:hint="eastAsia" w:ascii="仿宋_GB2312"/>
          <w:b/>
          <w:color w:val="auto"/>
          <w:szCs w:val="32"/>
          <w:highlight w:val="none"/>
        </w:rPr>
        <w:t>要求的变化。</w:t>
      </w:r>
      <w:r>
        <w:rPr>
          <w:rFonts w:hint="eastAsia" w:ascii="仿宋_GB2312"/>
          <w:color w:val="auto"/>
          <w:szCs w:val="32"/>
          <w:highlight w:val="none"/>
          <w:lang w:eastAsia="zh-CN"/>
        </w:rPr>
        <w:t>2019-2020</w:t>
      </w:r>
      <w:r>
        <w:rPr>
          <w:rFonts w:hint="eastAsia" w:ascii="仿宋_GB2312"/>
          <w:color w:val="auto"/>
          <w:szCs w:val="32"/>
          <w:highlight w:val="none"/>
        </w:rPr>
        <w:t>学年质量报告内容和形式等方面的具体要求及国务院教育督导委员会办公室相关文件资料，请各院校登录质量报告领导小组办公室公共邮箱下载（zlbgbgs@163.com，密码6575950）。</w:t>
      </w:r>
    </w:p>
    <w:p>
      <w:pPr>
        <w:adjustRightInd w:val="0"/>
        <w:snapToGrid w:val="0"/>
        <w:spacing w:line="600" w:lineRule="exact"/>
        <w:ind w:firstLine="555"/>
        <w:rPr>
          <w:rFonts w:hint="eastAsia" w:ascii="黑体" w:hAnsi="黑体" w:eastAsia="黑体"/>
          <w:b/>
          <w:color w:val="auto"/>
          <w:szCs w:val="32"/>
          <w:highlight w:val="none"/>
        </w:rPr>
      </w:pPr>
      <w:r>
        <w:rPr>
          <w:rFonts w:hint="eastAsia" w:ascii="黑体" w:hAnsi="黑体" w:eastAsia="黑体"/>
          <w:b/>
          <w:color w:val="auto"/>
          <w:szCs w:val="32"/>
          <w:highlight w:val="none"/>
        </w:rPr>
        <w:t>三、完成时限及报送要求</w:t>
      </w:r>
    </w:p>
    <w:p>
      <w:pPr>
        <w:adjustRightInd w:val="0"/>
        <w:snapToGrid w:val="0"/>
        <w:spacing w:line="600" w:lineRule="exact"/>
        <w:ind w:firstLine="555"/>
        <w:rPr>
          <w:rFonts w:hint="eastAsia" w:ascii="仿宋_GB2312"/>
          <w:color w:val="auto"/>
          <w:szCs w:val="32"/>
          <w:highlight w:val="none"/>
        </w:rPr>
      </w:pPr>
      <w:r>
        <w:rPr>
          <w:rFonts w:hint="eastAsia" w:ascii="仿宋_GB2312"/>
          <w:color w:val="auto"/>
          <w:szCs w:val="32"/>
          <w:highlight w:val="none"/>
        </w:rPr>
        <w:t>根据全区质量报告工作的统筹安排，各本科院校质量报告须经本校有关会议研究通过后，于20</w:t>
      </w:r>
      <w:r>
        <w:rPr>
          <w:rFonts w:hint="eastAsia" w:ascii="仿宋_GB2312"/>
          <w:color w:val="auto"/>
          <w:szCs w:val="32"/>
          <w:highlight w:val="none"/>
          <w:lang w:val="en-US" w:eastAsia="zh-CN"/>
        </w:rPr>
        <w:t>20</w:t>
      </w:r>
      <w:r>
        <w:rPr>
          <w:rFonts w:hint="eastAsia" w:ascii="仿宋_GB2312"/>
          <w:color w:val="auto"/>
          <w:szCs w:val="32"/>
          <w:highlight w:val="none"/>
        </w:rPr>
        <w:t>年10月</w:t>
      </w:r>
      <w:r>
        <w:rPr>
          <w:rFonts w:hint="eastAsia" w:ascii="仿宋_GB2312"/>
          <w:color w:val="auto"/>
          <w:szCs w:val="32"/>
          <w:highlight w:val="none"/>
          <w:lang w:val="en-US" w:eastAsia="zh-CN"/>
        </w:rPr>
        <w:t>20</w:t>
      </w:r>
      <w:r>
        <w:rPr>
          <w:rFonts w:hint="eastAsia" w:ascii="仿宋_GB2312"/>
          <w:color w:val="auto"/>
          <w:szCs w:val="32"/>
          <w:highlight w:val="none"/>
        </w:rPr>
        <w:t>日前以学校文件的形式报送至自治区高等教育质量报告工作领导小组办公室，</w:t>
      </w:r>
      <w:r>
        <w:rPr>
          <w:rFonts w:hint="eastAsia" w:ascii="仿宋_GB2312"/>
          <w:b/>
          <w:bCs/>
          <w:color w:val="auto"/>
          <w:szCs w:val="32"/>
          <w:highlight w:val="none"/>
          <w:lang w:eastAsia="zh-CN"/>
        </w:rPr>
        <w:t>质量报告封面需加盖学校公章，</w:t>
      </w:r>
      <w:r>
        <w:rPr>
          <w:rFonts w:hint="eastAsia" w:ascii="仿宋_GB2312"/>
          <w:color w:val="auto"/>
          <w:szCs w:val="32"/>
          <w:highlight w:val="none"/>
        </w:rPr>
        <w:t>电子版发送至电子邮箱：</w:t>
      </w:r>
      <w:r>
        <w:rPr>
          <w:color w:val="auto"/>
          <w:highlight w:val="none"/>
        </w:rPr>
        <w:fldChar w:fldCharType="begin"/>
      </w:r>
      <w:r>
        <w:rPr>
          <w:color w:val="auto"/>
          <w:highlight w:val="none"/>
        </w:rPr>
        <w:instrText xml:space="preserve"> HYPERLINK "mailto:gdjyzlbg@163.com" </w:instrText>
      </w:r>
      <w:r>
        <w:rPr>
          <w:color w:val="auto"/>
          <w:highlight w:val="none"/>
        </w:rPr>
        <w:fldChar w:fldCharType="separate"/>
      </w:r>
      <w:r>
        <w:rPr>
          <w:rFonts w:hint="eastAsia" w:ascii="仿宋_GB2312"/>
          <w:color w:val="auto"/>
          <w:szCs w:val="32"/>
          <w:highlight w:val="none"/>
        </w:rPr>
        <w:t>gdjyzlbg@163.com</w:t>
      </w:r>
      <w:r>
        <w:rPr>
          <w:rFonts w:hint="eastAsia" w:ascii="仿宋_GB2312"/>
          <w:color w:val="auto"/>
          <w:szCs w:val="32"/>
          <w:highlight w:val="none"/>
        </w:rPr>
        <w:fldChar w:fldCharType="end"/>
      </w:r>
      <w:r>
        <w:rPr>
          <w:rFonts w:hint="eastAsia" w:ascii="仿宋_GB2312"/>
          <w:color w:val="auto"/>
          <w:szCs w:val="32"/>
          <w:highlight w:val="none"/>
        </w:rPr>
        <w:t>。按照国务院教育督导委员会办公室要求，各院校应</w:t>
      </w:r>
      <w:r>
        <w:rPr>
          <w:rFonts w:hint="eastAsia" w:ascii="仿宋_GB2312"/>
          <w:color w:val="auto"/>
          <w:szCs w:val="32"/>
          <w:highlight w:val="none"/>
          <w:lang w:eastAsia="zh-CN"/>
        </w:rPr>
        <w:t>于</w:t>
      </w:r>
      <w:r>
        <w:rPr>
          <w:rFonts w:hint="eastAsia" w:ascii="仿宋_GB2312"/>
          <w:color w:val="auto"/>
          <w:szCs w:val="32"/>
          <w:highlight w:val="none"/>
          <w:lang w:val="en-US" w:eastAsia="zh-CN"/>
        </w:rPr>
        <w:t>2020年12月25日起在</w:t>
      </w:r>
      <w:r>
        <w:rPr>
          <w:rFonts w:hint="eastAsia" w:ascii="仿宋_GB2312"/>
          <w:color w:val="auto"/>
          <w:szCs w:val="32"/>
          <w:highlight w:val="none"/>
        </w:rPr>
        <w:t>学校门户网站开设信息公开专栏，向社会公开发布本校</w:t>
      </w:r>
      <w:r>
        <w:rPr>
          <w:rFonts w:hint="eastAsia" w:ascii="仿宋_GB2312"/>
          <w:color w:val="auto"/>
          <w:szCs w:val="32"/>
          <w:highlight w:val="none"/>
          <w:lang w:eastAsia="zh-CN"/>
        </w:rPr>
        <w:t>2019-2020</w:t>
      </w:r>
      <w:r>
        <w:rPr>
          <w:rFonts w:hint="eastAsia" w:ascii="仿宋_GB2312"/>
          <w:color w:val="auto"/>
          <w:szCs w:val="32"/>
          <w:highlight w:val="none"/>
        </w:rPr>
        <w:t>学年质量报告</w:t>
      </w:r>
      <w:r>
        <w:rPr>
          <w:rFonts w:hint="eastAsia" w:ascii="仿宋_GB2312"/>
          <w:color w:val="auto"/>
          <w:szCs w:val="32"/>
          <w:highlight w:val="none"/>
          <w:lang w:eastAsia="zh-CN"/>
        </w:rPr>
        <w:t>，发布期为</w:t>
      </w:r>
      <w:r>
        <w:rPr>
          <w:rFonts w:hint="eastAsia" w:ascii="仿宋_GB2312"/>
          <w:color w:val="auto"/>
          <w:szCs w:val="32"/>
          <w:highlight w:val="none"/>
          <w:lang w:val="en-US" w:eastAsia="zh-CN"/>
        </w:rPr>
        <w:t>1年</w:t>
      </w:r>
      <w:r>
        <w:rPr>
          <w:rFonts w:hint="eastAsia" w:ascii="仿宋_GB2312"/>
          <w:color w:val="auto"/>
          <w:szCs w:val="32"/>
          <w:highlight w:val="none"/>
        </w:rPr>
        <w:t>。</w:t>
      </w:r>
    </w:p>
    <w:p>
      <w:pPr>
        <w:adjustRightInd w:val="0"/>
        <w:snapToGrid w:val="0"/>
        <w:spacing w:line="600" w:lineRule="exact"/>
        <w:ind w:firstLine="555"/>
        <w:rPr>
          <w:rFonts w:hint="eastAsia" w:ascii="黑体" w:hAnsi="黑体" w:eastAsia="黑体"/>
          <w:b/>
          <w:color w:val="auto"/>
          <w:szCs w:val="32"/>
          <w:highlight w:val="none"/>
        </w:rPr>
      </w:pPr>
      <w:r>
        <w:rPr>
          <w:rFonts w:hint="eastAsia" w:ascii="黑体" w:hAnsi="黑体" w:eastAsia="黑体"/>
          <w:b/>
          <w:color w:val="auto"/>
          <w:szCs w:val="32"/>
          <w:highlight w:val="none"/>
        </w:rPr>
        <w:t>四、自治区高等教育质量报告工作领导小组成员及联络员变化情况的说明</w:t>
      </w:r>
    </w:p>
    <w:p>
      <w:pPr>
        <w:adjustRightInd w:val="0"/>
        <w:snapToGrid w:val="0"/>
        <w:spacing w:line="600" w:lineRule="exact"/>
        <w:ind w:firstLine="555"/>
        <w:rPr>
          <w:rFonts w:hint="eastAsia" w:ascii="仿宋_GB2312"/>
          <w:color w:val="auto"/>
          <w:szCs w:val="32"/>
          <w:highlight w:val="none"/>
        </w:rPr>
      </w:pPr>
      <w:r>
        <w:rPr>
          <w:rFonts w:hint="eastAsia" w:ascii="仿宋_GB2312"/>
          <w:color w:val="auto"/>
          <w:szCs w:val="32"/>
          <w:highlight w:val="none"/>
        </w:rPr>
        <w:t>各本科院校要根据本单位领导分工的调整及人员变化情况，适时调整自治区高等教育质量报告工作领导小组成员及质量报告工作联络员。有人员调整、变动的高校，须将领导小组成员、联络员变动具体情况，以电子邮件的形式报送自治区高等教育质量报告工作领导小组办公室。《内蒙古自治区高等教育质量报告工作领导小组成员推荐表》、《内蒙古自治区高等教育质量报告工作联络员登记表》，请到领导小组办公室公共邮箱下载。（zlbgbgs@163.com,密码：6575950）</w:t>
      </w:r>
    </w:p>
    <w:p>
      <w:pPr>
        <w:adjustRightInd w:val="0"/>
        <w:snapToGrid w:val="0"/>
        <w:spacing w:line="600" w:lineRule="exact"/>
        <w:ind w:firstLine="555"/>
        <w:rPr>
          <w:rFonts w:hint="eastAsia" w:ascii="仿宋_GB2312"/>
          <w:color w:val="auto"/>
          <w:szCs w:val="32"/>
          <w:highlight w:val="none"/>
        </w:rPr>
      </w:pPr>
      <w:r>
        <w:rPr>
          <w:rFonts w:hint="eastAsia" w:ascii="仿宋_GB2312"/>
          <w:color w:val="auto"/>
          <w:szCs w:val="32"/>
          <w:highlight w:val="none"/>
        </w:rPr>
        <w:t>为进一步加强联系沟通，做好质量报告工作，请各院校质量报告工作联络员尽快加入“内蒙古高等教育质量”QQ工作群（QQ群号280719616）。</w:t>
      </w:r>
    </w:p>
    <w:p>
      <w:pPr>
        <w:adjustRightInd w:val="0"/>
        <w:snapToGrid w:val="0"/>
        <w:spacing w:line="600" w:lineRule="exact"/>
        <w:ind w:firstLine="555"/>
        <w:rPr>
          <w:rFonts w:hint="eastAsia" w:ascii="仿宋_GB2312"/>
          <w:color w:val="auto"/>
          <w:szCs w:val="32"/>
          <w:highlight w:val="none"/>
        </w:rPr>
      </w:pPr>
      <w:r>
        <w:rPr>
          <w:rFonts w:hint="eastAsia" w:ascii="仿宋_GB2312"/>
          <w:color w:val="auto"/>
          <w:szCs w:val="32"/>
          <w:highlight w:val="none"/>
        </w:rPr>
        <w:t>内蒙古自治区高等教育质量报告工作领导小组办公室办公地点：内蒙古工业大学高等教育研究所（新城校区教研楼五楼517室）；通讯地址：呼和浩特市爱民街49号内蒙古工业大学高等教育研究所；邮编：010051；联系人：庞娜；联系电话：0471-6575703；电子邮箱：</w:t>
      </w:r>
      <w:r>
        <w:rPr>
          <w:color w:val="auto"/>
          <w:highlight w:val="none"/>
        </w:rPr>
        <w:fldChar w:fldCharType="begin"/>
      </w:r>
      <w:r>
        <w:rPr>
          <w:color w:val="auto"/>
          <w:highlight w:val="none"/>
        </w:rPr>
        <w:instrText xml:space="preserve"> HYPERLINK "mailto:gdjyzlbg@163.com" </w:instrText>
      </w:r>
      <w:r>
        <w:rPr>
          <w:color w:val="auto"/>
          <w:highlight w:val="none"/>
        </w:rPr>
        <w:fldChar w:fldCharType="separate"/>
      </w:r>
      <w:r>
        <w:rPr>
          <w:rFonts w:hint="eastAsia" w:ascii="仿宋_GB2312"/>
          <w:color w:val="auto"/>
          <w:szCs w:val="32"/>
          <w:highlight w:val="none"/>
        </w:rPr>
        <w:t>gdjyzlbg@163.com</w:t>
      </w:r>
      <w:r>
        <w:rPr>
          <w:rFonts w:hint="eastAsia" w:ascii="仿宋_GB2312"/>
          <w:color w:val="auto"/>
          <w:szCs w:val="32"/>
          <w:highlight w:val="none"/>
        </w:rPr>
        <w:fldChar w:fldCharType="end"/>
      </w:r>
      <w:r>
        <w:rPr>
          <w:rFonts w:hint="eastAsia" w:ascii="仿宋_GB2312"/>
          <w:color w:val="auto"/>
          <w:szCs w:val="32"/>
          <w:highlight w:val="none"/>
        </w:rPr>
        <w:t>。</w:t>
      </w:r>
    </w:p>
    <w:p>
      <w:pPr>
        <w:autoSpaceDE w:val="0"/>
        <w:autoSpaceDN w:val="0"/>
        <w:adjustRightInd w:val="0"/>
        <w:snapToGrid w:val="0"/>
        <w:spacing w:line="600" w:lineRule="exact"/>
        <w:ind w:firstLine="560"/>
        <w:jc w:val="left"/>
        <w:rPr>
          <w:rFonts w:hint="eastAsia" w:ascii="仿宋_GB2312"/>
          <w:color w:val="auto"/>
          <w:szCs w:val="32"/>
          <w:highlight w:val="none"/>
        </w:rPr>
      </w:pPr>
    </w:p>
    <w:p>
      <w:pPr>
        <w:autoSpaceDE w:val="0"/>
        <w:autoSpaceDN w:val="0"/>
        <w:adjustRightInd w:val="0"/>
        <w:snapToGrid w:val="0"/>
        <w:spacing w:line="600" w:lineRule="exact"/>
        <w:ind w:firstLine="560"/>
        <w:jc w:val="left"/>
        <w:rPr>
          <w:rFonts w:hint="eastAsia" w:ascii="仿宋_GB2312"/>
          <w:color w:val="auto"/>
          <w:szCs w:val="32"/>
          <w:highlight w:val="none"/>
        </w:rPr>
      </w:pPr>
    </w:p>
    <w:p>
      <w:pPr>
        <w:autoSpaceDE w:val="0"/>
        <w:autoSpaceDN w:val="0"/>
        <w:adjustRightInd w:val="0"/>
        <w:snapToGrid w:val="0"/>
        <w:spacing w:line="600" w:lineRule="exact"/>
        <w:ind w:right="-227" w:rightChars="-108" w:firstLine="709"/>
        <w:jc w:val="left"/>
        <w:rPr>
          <w:rFonts w:hint="eastAsia" w:ascii="仿宋_GB2312"/>
          <w:color w:val="auto"/>
          <w:szCs w:val="32"/>
          <w:highlight w:val="none"/>
        </w:rPr>
      </w:pPr>
    </w:p>
    <w:p>
      <w:pPr>
        <w:adjustRightInd w:val="0"/>
        <w:snapToGrid w:val="0"/>
        <w:spacing w:line="600" w:lineRule="exact"/>
        <w:jc w:val="right"/>
        <w:rPr>
          <w:rFonts w:hint="eastAsia" w:ascii="仿宋_GB2312"/>
          <w:color w:val="auto"/>
          <w:szCs w:val="32"/>
          <w:highlight w:val="none"/>
        </w:rPr>
      </w:pPr>
      <w:r>
        <w:rPr>
          <w:rFonts w:hint="eastAsia" w:ascii="仿宋_GB2312"/>
          <w:color w:val="auto"/>
          <w:szCs w:val="32"/>
          <w:highlight w:val="none"/>
        </w:rPr>
        <w:t>内蒙古自治区教育厅高等教育处</w:t>
      </w:r>
    </w:p>
    <w:p>
      <w:pPr>
        <w:wordWrap w:val="0"/>
        <w:adjustRightInd w:val="0"/>
        <w:snapToGrid w:val="0"/>
        <w:spacing w:line="600" w:lineRule="exact"/>
        <w:ind w:firstLine="3477" w:firstLineChars="1656"/>
        <w:jc w:val="right"/>
        <w:rPr>
          <w:rFonts w:hint="eastAsia" w:ascii="仿宋_GB2312" w:eastAsia="仿宋_GB2312" w:cs="仿宋_GB2312"/>
          <w:color w:val="auto"/>
          <w:sz w:val="28"/>
          <w:szCs w:val="28"/>
          <w:highlight w:val="none"/>
        </w:rPr>
      </w:pPr>
      <w:r>
        <w:rPr>
          <w:rFonts w:hint="eastAsia" w:ascii="仿宋_GB2312"/>
          <w:color w:val="auto"/>
          <w:szCs w:val="32"/>
          <w:highlight w:val="none"/>
        </w:rPr>
        <w:t>20</w:t>
      </w:r>
      <w:r>
        <w:rPr>
          <w:rFonts w:hint="eastAsia" w:ascii="仿宋_GB2312"/>
          <w:color w:val="auto"/>
          <w:szCs w:val="32"/>
          <w:highlight w:val="none"/>
          <w:lang w:val="en-US" w:eastAsia="zh-CN"/>
        </w:rPr>
        <w:t>20</w:t>
      </w:r>
      <w:r>
        <w:rPr>
          <w:rFonts w:hint="eastAsia" w:ascii="仿宋_GB2312" w:cs="仿宋_GB2312"/>
          <w:color w:val="auto"/>
          <w:szCs w:val="32"/>
          <w:highlight w:val="none"/>
        </w:rPr>
        <w:t>年</w:t>
      </w:r>
      <w:r>
        <w:rPr>
          <w:rFonts w:hint="eastAsia" w:ascii="仿宋_GB2312" w:cs="仿宋_GB2312"/>
          <w:color w:val="auto"/>
          <w:szCs w:val="32"/>
          <w:highlight w:val="none"/>
          <w:lang w:val="en-US" w:eastAsia="zh-CN"/>
        </w:rPr>
        <w:t>9</w:t>
      </w:r>
      <w:r>
        <w:rPr>
          <w:rFonts w:hint="eastAsia" w:ascii="仿宋_GB2312" w:cs="仿宋_GB2312"/>
          <w:color w:val="auto"/>
          <w:szCs w:val="32"/>
          <w:highlight w:val="none"/>
        </w:rPr>
        <w:t>月</w:t>
      </w:r>
      <w:r>
        <w:rPr>
          <w:rFonts w:hint="eastAsia" w:ascii="仿宋_GB2312" w:cs="仿宋_GB2312"/>
          <w:color w:val="auto"/>
          <w:szCs w:val="32"/>
          <w:highlight w:val="none"/>
          <w:lang w:val="en-US" w:eastAsia="zh-CN"/>
        </w:rPr>
        <w:t>25</w:t>
      </w:r>
      <w:r>
        <w:rPr>
          <w:rFonts w:hint="eastAsia" w:ascii="仿宋_GB2312"/>
          <w:color w:val="auto"/>
          <w:szCs w:val="32"/>
          <w:highlight w:val="none"/>
        </w:rPr>
        <w:t xml:space="preserve">日     </w:t>
      </w:r>
    </w:p>
    <w:p>
      <w:pPr>
        <w:adjustRightInd w:val="0"/>
        <w:snapToGrid w:val="0"/>
        <w:spacing w:line="600" w:lineRule="atLeast"/>
        <w:rPr>
          <w:rFonts w:hint="eastAsia"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rPr>
        <w:br w:type="page"/>
      </w:r>
    </w:p>
    <w:p>
      <w:pPr>
        <w:adjustRightInd w:val="0"/>
        <w:snapToGrid w:val="0"/>
        <w:spacing w:line="600" w:lineRule="atLeast"/>
        <w:rPr>
          <w:rFonts w:hint="eastAsia"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rPr>
        <w:t>附件一：</w:t>
      </w:r>
    </w:p>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宋体" w:cs="宋体"/>
          <w:b/>
          <w:bCs/>
          <w:color w:val="auto"/>
          <w:kern w:val="0"/>
          <w:sz w:val="32"/>
          <w:szCs w:val="32"/>
          <w:highlight w:val="none"/>
        </w:rPr>
        <w:t>内蒙古自治区高等教育质量报告工作领导小组成员推荐表</w:t>
      </w:r>
    </w:p>
    <w:p>
      <w:pPr>
        <w:widowControl/>
        <w:snapToGrid w:val="0"/>
        <w:spacing w:before="100" w:beforeAutospacing="1" w:after="120" w:afterLines="50" w:line="480" w:lineRule="atLeast"/>
        <w:jc w:val="left"/>
        <w:rPr>
          <w:rFonts w:hint="eastAsia" w:ascii="宋体" w:cs="宋体"/>
          <w:color w:val="auto"/>
          <w:kern w:val="0"/>
          <w:sz w:val="24"/>
          <w:highlight w:val="none"/>
        </w:rPr>
      </w:pPr>
      <w:r>
        <w:rPr>
          <w:rFonts w:hint="eastAsia" w:ascii="仿宋_GB2312" w:eastAsia="仿宋_GB2312" w:cs="宋体"/>
          <w:b/>
          <w:bCs/>
          <w:color w:val="auto"/>
          <w:kern w:val="0"/>
          <w:sz w:val="28"/>
          <w:szCs w:val="28"/>
          <w:highlight w:val="none"/>
        </w:rPr>
        <w:t> 学  校：</w:t>
      </w:r>
    </w:p>
    <w:tbl>
      <w:tblPr>
        <w:tblStyle w:val="5"/>
        <w:tblW w:w="9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43"/>
        <w:gridCol w:w="1512"/>
        <w:gridCol w:w="709"/>
        <w:gridCol w:w="789"/>
        <w:gridCol w:w="735"/>
        <w:gridCol w:w="285"/>
        <w:gridCol w:w="489"/>
        <w:gridCol w:w="1176"/>
        <w:gridCol w:w="18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姓　名</w:t>
            </w:r>
          </w:p>
        </w:tc>
        <w:tc>
          <w:tcPr>
            <w:tcW w:w="1512"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709"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性别</w:t>
            </w:r>
          </w:p>
        </w:tc>
        <w:tc>
          <w:tcPr>
            <w:tcW w:w="789"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35"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民族</w:t>
            </w:r>
          </w:p>
        </w:tc>
        <w:tc>
          <w:tcPr>
            <w:tcW w:w="774" w:type="dxa"/>
            <w:gridSpan w:val="2"/>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1176"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出生年月</w:t>
            </w:r>
          </w:p>
        </w:tc>
        <w:tc>
          <w:tcPr>
            <w:tcW w:w="1805"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职  务</w:t>
            </w:r>
          </w:p>
        </w:tc>
        <w:tc>
          <w:tcPr>
            <w:tcW w:w="3010" w:type="dxa"/>
            <w:gridSpan w:val="3"/>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35"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职称</w:t>
            </w:r>
          </w:p>
        </w:tc>
        <w:tc>
          <w:tcPr>
            <w:tcW w:w="3755" w:type="dxa"/>
            <w:gridSpan w:val="4"/>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所在部门</w:t>
            </w:r>
          </w:p>
        </w:tc>
        <w:tc>
          <w:tcPr>
            <w:tcW w:w="7500" w:type="dxa"/>
            <w:gridSpan w:val="8"/>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通信地址</w:t>
            </w:r>
          </w:p>
        </w:tc>
        <w:tc>
          <w:tcPr>
            <w:tcW w:w="4030" w:type="dxa"/>
            <w:gridSpan w:val="5"/>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1665" w:type="dxa"/>
            <w:gridSpan w:val="2"/>
            <w:vAlign w:val="center"/>
          </w:tcPr>
          <w:p>
            <w:pPr>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邮政编码</w:t>
            </w:r>
          </w:p>
        </w:tc>
        <w:tc>
          <w:tcPr>
            <w:tcW w:w="1805"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固定电话</w:t>
            </w:r>
          </w:p>
        </w:tc>
        <w:tc>
          <w:tcPr>
            <w:tcW w:w="3010" w:type="dxa"/>
            <w:gridSpan w:val="3"/>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35"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手机</w:t>
            </w:r>
          </w:p>
        </w:tc>
        <w:tc>
          <w:tcPr>
            <w:tcW w:w="3755" w:type="dxa"/>
            <w:gridSpan w:val="4"/>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543"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电子邮箱</w:t>
            </w:r>
          </w:p>
        </w:tc>
        <w:tc>
          <w:tcPr>
            <w:tcW w:w="7500" w:type="dxa"/>
            <w:gridSpan w:val="8"/>
            <w:tcMar>
              <w:left w:w="10" w:type="dxa"/>
              <w:right w:w="10" w:type="dxa"/>
            </w:tcMar>
            <w:vAlign w:val="center"/>
          </w:tcPr>
          <w:p>
            <w:pPr>
              <w:widowControl/>
              <w:snapToGrid w:val="0"/>
              <w:spacing w:before="100" w:beforeAutospacing="1" w:after="100" w:afterAutospacing="1" w:line="480" w:lineRule="atLeast"/>
              <w:jc w:val="left"/>
              <w:rPr>
                <w:rFonts w:hint="eastAsia" w:ascii="宋体" w:cs="宋体"/>
                <w:color w:val="auto"/>
                <w:kern w:val="0"/>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35" w:hRule="atLeast"/>
          <w:jc w:val="center"/>
        </w:trPr>
        <w:tc>
          <w:tcPr>
            <w:tcW w:w="9043" w:type="dxa"/>
            <w:gridSpan w:val="9"/>
            <w:tcMar>
              <w:left w:w="10" w:type="dxa"/>
              <w:right w:w="10" w:type="dxa"/>
            </w:tcMar>
            <w:vAlign w:val="top"/>
          </w:tcPr>
          <w:p>
            <w:pPr>
              <w:widowControl/>
              <w:snapToGrid w:val="0"/>
              <w:spacing w:before="100" w:beforeAutospacing="1" w:after="100" w:afterAutospacing="1" w:line="480" w:lineRule="atLeast"/>
              <w:ind w:firstLine="140" w:firstLineChars="50"/>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学校意见：</w:t>
            </w:r>
          </w:p>
          <w:p>
            <w:pPr>
              <w:widowControl/>
              <w:snapToGrid w:val="0"/>
              <w:spacing w:before="100" w:beforeAutospacing="1" w:after="100" w:afterAutospacing="1" w:line="480" w:lineRule="atLeast"/>
              <w:jc w:val="left"/>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  </w:t>
            </w:r>
          </w:p>
          <w:p>
            <w:pPr>
              <w:widowControl/>
              <w:snapToGrid w:val="0"/>
              <w:spacing w:before="100" w:beforeAutospacing="1" w:after="100" w:afterAutospacing="1" w:line="480" w:lineRule="atLeast"/>
              <w:jc w:val="left"/>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 xml:space="preserve"> </w:t>
            </w:r>
          </w:p>
          <w:p>
            <w:pPr>
              <w:widowControl/>
              <w:snapToGrid w:val="0"/>
              <w:spacing w:before="100" w:beforeAutospacing="1" w:after="100" w:afterAutospacing="1" w:line="480" w:lineRule="atLeast"/>
              <w:jc w:val="left"/>
              <w:rPr>
                <w:rFonts w:hint="eastAsia" w:ascii="宋体" w:cs="宋体"/>
                <w:b/>
                <w:color w:val="auto"/>
                <w:kern w:val="0"/>
                <w:sz w:val="32"/>
                <w:szCs w:val="32"/>
                <w:highlight w:val="none"/>
              </w:rPr>
            </w:pPr>
            <w:r>
              <w:rPr>
                <w:rFonts w:hint="eastAsia" w:ascii="仿宋_GB2312" w:eastAsia="仿宋_GB2312" w:cs="宋体"/>
                <w:color w:val="auto"/>
                <w:kern w:val="0"/>
                <w:sz w:val="28"/>
                <w:szCs w:val="28"/>
                <w:highlight w:val="none"/>
              </w:rPr>
              <w:t xml:space="preserve"> </w:t>
            </w:r>
          </w:p>
          <w:p>
            <w:pPr>
              <w:widowControl/>
              <w:snapToGrid w:val="0"/>
              <w:spacing w:before="100" w:beforeAutospacing="1" w:after="100" w:afterAutospacing="1" w:line="480" w:lineRule="atLeast"/>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单位（公章）　　        负责人（签字）：</w:t>
            </w:r>
          </w:p>
          <w:p>
            <w:pPr>
              <w:widowControl/>
              <w:wordWrap w:val="0"/>
              <w:snapToGrid w:val="0"/>
              <w:spacing w:before="100" w:beforeAutospacing="1" w:after="100" w:afterAutospacing="1" w:line="480" w:lineRule="atLeast"/>
              <w:ind w:firstLine="2940"/>
              <w:jc w:val="righ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xml:space="preserve">                           年   月   日    </w:t>
            </w:r>
          </w:p>
        </w:tc>
      </w:tr>
    </w:tbl>
    <w:p>
      <w:pPr>
        <w:adjustRightInd w:val="0"/>
        <w:snapToGrid w:val="0"/>
        <w:spacing w:line="600" w:lineRule="atLeast"/>
        <w:rPr>
          <w:rFonts w:hint="eastAsia"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rPr>
        <w:br w:type="page"/>
      </w:r>
      <w:r>
        <w:rPr>
          <w:rFonts w:hint="eastAsia" w:ascii="仿宋_GB2312" w:eastAsia="仿宋_GB2312" w:cs="仿宋_GB2312"/>
          <w:color w:val="auto"/>
          <w:sz w:val="28"/>
          <w:szCs w:val="28"/>
          <w:highlight w:val="none"/>
        </w:rPr>
        <w:t>附件二：</w:t>
      </w:r>
    </w:p>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宋体" w:cs="宋体"/>
          <w:b/>
          <w:bCs/>
          <w:color w:val="auto"/>
          <w:kern w:val="0"/>
          <w:sz w:val="32"/>
          <w:szCs w:val="32"/>
          <w:highlight w:val="none"/>
        </w:rPr>
        <w:t>内蒙古自治区高等教育质量报告工作联络员登记表</w:t>
      </w:r>
    </w:p>
    <w:p>
      <w:pPr>
        <w:widowControl/>
        <w:snapToGrid w:val="0"/>
        <w:spacing w:before="100" w:beforeAutospacing="1" w:after="120" w:afterLines="50" w:line="480" w:lineRule="atLeast"/>
        <w:ind w:firstLine="138" w:firstLineChars="49"/>
        <w:jc w:val="left"/>
        <w:rPr>
          <w:rFonts w:hint="eastAsia" w:ascii="宋体" w:cs="宋体"/>
          <w:color w:val="auto"/>
          <w:kern w:val="0"/>
          <w:sz w:val="24"/>
          <w:highlight w:val="none"/>
        </w:rPr>
      </w:pPr>
      <w:r>
        <w:rPr>
          <w:rFonts w:hint="eastAsia" w:ascii="仿宋_GB2312" w:eastAsia="仿宋_GB2312" w:cs="宋体"/>
          <w:b/>
          <w:bCs/>
          <w:color w:val="auto"/>
          <w:kern w:val="0"/>
          <w:sz w:val="28"/>
          <w:szCs w:val="28"/>
          <w:highlight w:val="none"/>
        </w:rPr>
        <w:t>学  校：</w:t>
      </w:r>
    </w:p>
    <w:tbl>
      <w:tblPr>
        <w:tblStyle w:val="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8"/>
        <w:gridCol w:w="1230"/>
        <w:gridCol w:w="720"/>
        <w:gridCol w:w="840"/>
        <w:gridCol w:w="747"/>
        <w:gridCol w:w="406"/>
        <w:gridCol w:w="422"/>
        <w:gridCol w:w="1140"/>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top w:val="single" w:color="000000" w:sz="8" w:space="0"/>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姓　名</w:t>
            </w:r>
          </w:p>
        </w:tc>
        <w:tc>
          <w:tcPr>
            <w:tcW w:w="1230" w:type="dxa"/>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20" w:type="dxa"/>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性别</w:t>
            </w:r>
          </w:p>
        </w:tc>
        <w:tc>
          <w:tcPr>
            <w:tcW w:w="840" w:type="dxa"/>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747" w:type="dxa"/>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民族</w:t>
            </w:r>
          </w:p>
        </w:tc>
        <w:tc>
          <w:tcPr>
            <w:tcW w:w="828" w:type="dxa"/>
            <w:gridSpan w:val="2"/>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1140" w:type="dxa"/>
            <w:tcBorders>
              <w:top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出生年月</w:t>
            </w:r>
          </w:p>
        </w:tc>
        <w:tc>
          <w:tcPr>
            <w:tcW w:w="1887" w:type="dxa"/>
            <w:tcBorders>
              <w:top w:val="single" w:color="000000" w:sz="8" w:space="0"/>
              <w:righ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职  务</w:t>
            </w:r>
          </w:p>
        </w:tc>
        <w:tc>
          <w:tcPr>
            <w:tcW w:w="2790" w:type="dxa"/>
            <w:gridSpan w:val="3"/>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47"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职称</w:t>
            </w:r>
          </w:p>
        </w:tc>
        <w:tc>
          <w:tcPr>
            <w:tcW w:w="3855" w:type="dxa"/>
            <w:gridSpan w:val="4"/>
            <w:tcBorders>
              <w:righ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所在部门</w:t>
            </w:r>
          </w:p>
        </w:tc>
        <w:tc>
          <w:tcPr>
            <w:tcW w:w="7392" w:type="dxa"/>
            <w:gridSpan w:val="8"/>
            <w:tcBorders>
              <w:righ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通信地址</w:t>
            </w:r>
          </w:p>
        </w:tc>
        <w:tc>
          <w:tcPr>
            <w:tcW w:w="3943" w:type="dxa"/>
            <w:gridSpan w:val="5"/>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tc>
        <w:tc>
          <w:tcPr>
            <w:tcW w:w="1562" w:type="dxa"/>
            <w:gridSpan w:val="2"/>
            <w:vAlign w:val="center"/>
          </w:tcPr>
          <w:p>
            <w:pPr>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邮政编码</w:t>
            </w:r>
          </w:p>
        </w:tc>
        <w:tc>
          <w:tcPr>
            <w:tcW w:w="1887" w:type="dxa"/>
            <w:tcBorders>
              <w:righ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固定电话</w:t>
            </w:r>
          </w:p>
        </w:tc>
        <w:tc>
          <w:tcPr>
            <w:tcW w:w="2790" w:type="dxa"/>
            <w:gridSpan w:val="3"/>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c>
          <w:tcPr>
            <w:tcW w:w="747" w:type="dxa"/>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手机</w:t>
            </w:r>
          </w:p>
        </w:tc>
        <w:tc>
          <w:tcPr>
            <w:tcW w:w="3855" w:type="dxa"/>
            <w:gridSpan w:val="4"/>
            <w:tcBorders>
              <w:righ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608" w:type="dxa"/>
            <w:tcBorders>
              <w:left w:val="single" w:color="000000" w:sz="8" w:space="0"/>
            </w:tcBorders>
            <w:tcMar>
              <w:left w:w="10" w:type="dxa"/>
              <w:right w:w="10" w:type="dxa"/>
            </w:tcMar>
            <w:vAlign w:val="center"/>
          </w:tcPr>
          <w:p>
            <w:pPr>
              <w:widowControl/>
              <w:snapToGrid w:val="0"/>
              <w:spacing w:before="100" w:beforeAutospacing="1" w:after="100" w:afterAutospacing="1" w:line="480" w:lineRule="atLeast"/>
              <w:jc w:val="center"/>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电子邮箱</w:t>
            </w:r>
          </w:p>
        </w:tc>
        <w:tc>
          <w:tcPr>
            <w:tcW w:w="7392" w:type="dxa"/>
            <w:gridSpan w:val="8"/>
            <w:tcBorders>
              <w:right w:val="single" w:color="000000" w:sz="8" w:space="0"/>
            </w:tcBorders>
            <w:tcMar>
              <w:left w:w="10" w:type="dxa"/>
              <w:right w:w="10" w:type="dxa"/>
            </w:tcMar>
            <w:vAlign w:val="center"/>
          </w:tcPr>
          <w:p>
            <w:pPr>
              <w:widowControl/>
              <w:snapToGrid w:val="0"/>
              <w:spacing w:before="100" w:beforeAutospacing="1" w:after="100" w:afterAutospacing="1" w:line="480" w:lineRule="atLeast"/>
              <w:jc w:val="left"/>
              <w:rPr>
                <w:rFonts w:hint="eastAsia"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5" w:hRule="atLeast"/>
          <w:jc w:val="center"/>
        </w:trPr>
        <w:tc>
          <w:tcPr>
            <w:tcW w:w="9000" w:type="dxa"/>
            <w:gridSpan w:val="9"/>
            <w:tcBorders>
              <w:left w:val="single" w:color="000000" w:sz="8" w:space="0"/>
              <w:bottom w:val="single" w:color="000000" w:sz="8" w:space="0"/>
              <w:right w:val="single" w:color="000000" w:sz="8" w:space="0"/>
            </w:tcBorders>
            <w:tcMar>
              <w:left w:w="10" w:type="dxa"/>
              <w:right w:w="10" w:type="dxa"/>
            </w:tcMar>
            <w:vAlign w:val="top"/>
          </w:tcPr>
          <w:p>
            <w:pPr>
              <w:widowControl/>
              <w:snapToGrid w:val="0"/>
              <w:spacing w:before="100" w:beforeAutospacing="1" w:after="100" w:afterAutospacing="1" w:line="480" w:lineRule="atLeast"/>
              <w:ind w:firstLine="140" w:firstLineChars="50"/>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学校意见：</w:t>
            </w:r>
          </w:p>
          <w:p>
            <w:pPr>
              <w:widowControl/>
              <w:snapToGrid w:val="0"/>
              <w:spacing w:before="100" w:beforeAutospacing="1" w:after="100" w:afterAutospacing="1" w:line="480" w:lineRule="atLeast"/>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w:t>
            </w:r>
          </w:p>
          <w:p>
            <w:pPr>
              <w:widowControl/>
              <w:snapToGrid w:val="0"/>
              <w:spacing w:before="100" w:beforeAutospacing="1" w:after="100" w:afterAutospacing="1" w:line="480" w:lineRule="atLeast"/>
              <w:jc w:val="left"/>
              <w:rPr>
                <w:rFonts w:hint="eastAsia"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  </w:t>
            </w:r>
          </w:p>
          <w:p>
            <w:pPr>
              <w:widowControl/>
              <w:snapToGrid w:val="0"/>
              <w:spacing w:before="100" w:beforeAutospacing="1" w:after="100" w:afterAutospacing="1" w:line="480" w:lineRule="atLeast"/>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xml:space="preserve"> </w:t>
            </w:r>
          </w:p>
          <w:p>
            <w:pPr>
              <w:widowControl/>
              <w:tabs>
                <w:tab w:val="left" w:pos="885"/>
              </w:tabs>
              <w:snapToGrid w:val="0"/>
              <w:spacing w:before="100" w:beforeAutospacing="1" w:after="100" w:afterAutospacing="1" w:line="480" w:lineRule="atLeast"/>
              <w:jc w:val="lef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xml:space="preserve">   单位（公章）　　     负责人（签字）：</w:t>
            </w:r>
          </w:p>
          <w:p>
            <w:pPr>
              <w:widowControl/>
              <w:wordWrap w:val="0"/>
              <w:snapToGrid w:val="0"/>
              <w:spacing w:before="100" w:beforeAutospacing="1" w:after="100" w:afterAutospacing="1" w:line="480" w:lineRule="atLeast"/>
              <w:jc w:val="right"/>
              <w:rPr>
                <w:rFonts w:hint="eastAsia" w:ascii="宋体" w:cs="宋体"/>
                <w:color w:val="auto"/>
                <w:kern w:val="0"/>
                <w:sz w:val="24"/>
                <w:highlight w:val="none"/>
              </w:rPr>
            </w:pPr>
            <w:r>
              <w:rPr>
                <w:rFonts w:hint="eastAsia" w:ascii="仿宋_GB2312" w:eastAsia="仿宋_GB2312" w:cs="宋体"/>
                <w:color w:val="auto"/>
                <w:kern w:val="0"/>
                <w:sz w:val="28"/>
                <w:szCs w:val="28"/>
                <w:highlight w:val="none"/>
              </w:rPr>
              <w:t xml:space="preserve">                                      年　  月    日    </w:t>
            </w:r>
          </w:p>
        </w:tc>
      </w:tr>
    </w:tbl>
    <w:p>
      <w:pPr>
        <w:spacing w:line="360" w:lineRule="auto"/>
        <w:jc w:val="left"/>
        <w:rPr>
          <w:rFonts w:hint="eastAsia" w:ascii="仿宋_GB2312" w:eastAsia="仿宋_GB2312" w:cs="??_GB2312"/>
          <w:color w:val="auto"/>
          <w:kern w:val="0"/>
          <w:sz w:val="24"/>
          <w:szCs w:val="28"/>
          <w:highlight w:val="none"/>
        </w:rPr>
      </w:pPr>
    </w:p>
    <w:p>
      <w:pPr>
        <w:autoSpaceDE w:val="0"/>
        <w:autoSpaceDN w:val="0"/>
        <w:adjustRightInd w:val="0"/>
        <w:rPr>
          <w:rFonts w:hint="eastAsia" w:ascii="仿宋_GB2312" w:eastAsia="仿宋_GB2312" w:cs="黑体"/>
          <w:color w:val="auto"/>
          <w:kern w:val="0"/>
          <w:sz w:val="28"/>
          <w:szCs w:val="28"/>
          <w:highlight w:val="none"/>
          <w:lang w:val="zh-CN"/>
        </w:rPr>
        <w:sectPr>
          <w:footerReference r:id="rId8" w:type="default"/>
          <w:pgSz w:w="12240" w:h="15840"/>
          <w:pgMar w:top="1701" w:right="1418" w:bottom="1418" w:left="1701"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autoSpaceDE w:val="0"/>
        <w:autoSpaceDN w:val="0"/>
        <w:adjustRightInd w:val="0"/>
        <w:rPr>
          <w:rFonts w:hint="eastAsia" w:ascii="仿宋_GB2312" w:eastAsia="仿宋_GB2312" w:cs="黑体"/>
          <w:color w:val="auto"/>
          <w:kern w:val="0"/>
          <w:sz w:val="28"/>
          <w:szCs w:val="28"/>
          <w:highlight w:val="none"/>
          <w:lang w:val="zh-CN"/>
        </w:rPr>
      </w:pPr>
      <w:r>
        <w:rPr>
          <w:rFonts w:hint="eastAsia" w:ascii="仿宋_GB2312" w:eastAsia="仿宋_GB2312" w:cs="黑体"/>
          <w:color w:val="auto"/>
          <w:kern w:val="0"/>
          <w:sz w:val="28"/>
          <w:szCs w:val="28"/>
          <w:highlight w:val="none"/>
          <w:lang w:val="zh-CN"/>
        </w:rPr>
        <w:t>附件3-1</w:t>
      </w:r>
    </w:p>
    <w:p>
      <w:pPr>
        <w:autoSpaceDE w:val="0"/>
        <w:autoSpaceDN w:val="0"/>
        <w:adjustRightInd w:val="0"/>
        <w:jc w:val="center"/>
        <w:rPr>
          <w:rFonts w:hint="eastAsia" w:ascii="宋体" w:cs="宋体"/>
          <w:color w:val="auto"/>
          <w:kern w:val="0"/>
          <w:sz w:val="20"/>
          <w:szCs w:val="20"/>
          <w:highlight w:val="none"/>
          <w:lang w:val="zh-CN"/>
        </w:rPr>
      </w:pPr>
      <w:r>
        <w:rPr>
          <w:rFonts w:hint="eastAsia" w:ascii="宋体" w:cs="黑体"/>
          <w:b/>
          <w:color w:val="auto"/>
          <w:kern w:val="0"/>
          <w:sz w:val="32"/>
          <w:szCs w:val="32"/>
          <w:highlight w:val="none"/>
          <w:u w:val="single"/>
          <w:lang w:val="zh-CN"/>
        </w:rPr>
        <w:t xml:space="preserve">              </w:t>
      </w:r>
      <w:r>
        <w:rPr>
          <w:rFonts w:hint="eastAsia" w:ascii="宋体" w:cs="黑体"/>
          <w:b/>
          <w:color w:val="auto"/>
          <w:kern w:val="0"/>
          <w:sz w:val="32"/>
          <w:szCs w:val="32"/>
          <w:highlight w:val="none"/>
          <w:lang w:val="zh-CN"/>
        </w:rPr>
        <w:t>大学（学院）本科教学质量报告支撑数据表格</w:t>
      </w:r>
    </w:p>
    <w:p>
      <w:pPr>
        <w:numPr>
          <w:ilvl w:val="0"/>
          <w:numId w:val="1"/>
        </w:numPr>
        <w:autoSpaceDE w:val="0"/>
        <w:autoSpaceDN w:val="0"/>
        <w:adjustRightInd w:val="0"/>
        <w:spacing w:before="240" w:beforeLines="100" w:after="120" w:afterLines="50"/>
        <w:rPr>
          <w:rFonts w:hint="eastAsia" w:ascii="宋体" w:cs="宋体"/>
          <w:b/>
          <w:color w:val="auto"/>
          <w:kern w:val="0"/>
          <w:sz w:val="20"/>
          <w:szCs w:val="20"/>
          <w:highlight w:val="none"/>
          <w:lang w:val="zh-CN"/>
        </w:rPr>
      </w:pPr>
      <w:r>
        <w:rPr>
          <w:rFonts w:hint="eastAsia" w:ascii="宋体" w:cs="宋体"/>
          <w:b/>
          <w:color w:val="auto"/>
          <w:kern w:val="0"/>
          <w:sz w:val="20"/>
          <w:szCs w:val="20"/>
          <w:highlight w:val="none"/>
          <w:lang w:val="zh-CN"/>
        </w:rPr>
        <w:t>本科生占全日制在校生总数的比例</w:t>
      </w:r>
    </w:p>
    <w:p>
      <w:pPr>
        <w:autoSpaceDE w:val="0"/>
        <w:autoSpaceDN w:val="0"/>
        <w:adjustRightInd w:val="0"/>
        <w:spacing w:before="120" w:beforeLines="5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1.各类学生整体情况</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927"/>
        <w:gridCol w:w="942"/>
        <w:gridCol w:w="906"/>
        <w:gridCol w:w="911"/>
        <w:gridCol w:w="914"/>
        <w:gridCol w:w="911"/>
        <w:gridCol w:w="914"/>
        <w:gridCol w:w="911"/>
        <w:gridCol w:w="911"/>
        <w:gridCol w:w="911"/>
        <w:gridCol w:w="911"/>
        <w:gridCol w:w="91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pct"/>
            <w:gridSpan w:val="3"/>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cs="宋体"/>
                <w:b/>
                <w:bCs/>
                <w:color w:val="auto"/>
                <w:kern w:val="0"/>
                <w:sz w:val="20"/>
                <w:szCs w:val="20"/>
                <w:highlight w:val="none"/>
                <w:lang w:val="zh-CN"/>
              </w:rPr>
              <w:t>本科生数</w:t>
            </w:r>
          </w:p>
        </w:tc>
        <w:tc>
          <w:tcPr>
            <w:tcW w:w="350" w:type="pct"/>
            <w:vMerge w:val="restart"/>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cs="宋体"/>
                <w:b/>
                <w:bCs/>
                <w:color w:val="auto"/>
                <w:kern w:val="0"/>
                <w:sz w:val="20"/>
                <w:szCs w:val="20"/>
                <w:highlight w:val="none"/>
                <w:lang w:val="zh-CN"/>
              </w:rPr>
              <w:t>普通（高职）专科生数</w:t>
            </w:r>
          </w:p>
        </w:tc>
        <w:tc>
          <w:tcPr>
            <w:tcW w:w="705" w:type="pct"/>
            <w:gridSpan w:val="2"/>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cs="宋体"/>
                <w:b/>
                <w:bCs/>
                <w:color w:val="auto"/>
                <w:kern w:val="0"/>
                <w:sz w:val="20"/>
                <w:szCs w:val="20"/>
                <w:highlight w:val="none"/>
                <w:lang w:val="zh-CN"/>
              </w:rPr>
              <w:t>硕士研究生数（含留学生）</w:t>
            </w:r>
          </w:p>
        </w:tc>
        <w:tc>
          <w:tcPr>
            <w:tcW w:w="705" w:type="pct"/>
            <w:gridSpan w:val="2"/>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cs="宋体"/>
                <w:b/>
                <w:bCs/>
                <w:color w:val="auto"/>
                <w:kern w:val="0"/>
                <w:sz w:val="20"/>
                <w:szCs w:val="20"/>
                <w:highlight w:val="none"/>
                <w:lang w:val="zh-CN"/>
              </w:rPr>
              <w:t>博士研究生（含留学生）</w:t>
            </w:r>
          </w:p>
        </w:tc>
        <w:tc>
          <w:tcPr>
            <w:tcW w:w="352" w:type="pct"/>
            <w:vMerge w:val="restart"/>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hAnsi="宋体" w:cs="宋体"/>
                <w:b/>
                <w:bCs/>
                <w:color w:val="auto"/>
                <w:sz w:val="24"/>
                <w:szCs w:val="24"/>
                <w:highlight w:val="none"/>
                <w:vertAlign w:val="baseline"/>
                <w:lang w:eastAsia="zh-CN"/>
              </w:rPr>
              <w:t>预科阶段学生数</w:t>
            </w:r>
          </w:p>
        </w:tc>
        <w:tc>
          <w:tcPr>
            <w:tcW w:w="352" w:type="pct"/>
            <w:vMerge w:val="restar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进修生数</w:t>
            </w:r>
          </w:p>
        </w:tc>
        <w:tc>
          <w:tcPr>
            <w:tcW w:w="352" w:type="pct"/>
            <w:vMerge w:val="restar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函授生数</w:t>
            </w:r>
          </w:p>
        </w:tc>
        <w:tc>
          <w:tcPr>
            <w:tcW w:w="352" w:type="pct"/>
            <w:vMerge w:val="restar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全日制在校生数</w:t>
            </w:r>
          </w:p>
        </w:tc>
        <w:tc>
          <w:tcPr>
            <w:tcW w:w="353" w:type="pct"/>
            <w:vMerge w:val="restar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折合在校生数</w:t>
            </w:r>
          </w:p>
        </w:tc>
        <w:tc>
          <w:tcPr>
            <w:tcW w:w="396" w:type="pct"/>
            <w:vMerge w:val="restar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cs="宋体"/>
                <w:b/>
                <w:bCs/>
                <w:color w:val="auto"/>
                <w:kern w:val="0"/>
                <w:sz w:val="20"/>
                <w:szCs w:val="20"/>
                <w:highlight w:val="none"/>
                <w:lang w:val="zh-CN"/>
              </w:rPr>
              <w:t>本科生占全日制在校生总数的比例（%）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普通本科生数</w:t>
            </w:r>
          </w:p>
        </w:tc>
        <w:tc>
          <w:tcPr>
            <w:tcW w:w="358" w:type="pct"/>
            <w:vAlign w:val="center"/>
          </w:tcPr>
          <w:p>
            <w:pPr>
              <w:autoSpaceDE w:val="0"/>
              <w:autoSpaceDN w:val="0"/>
              <w:adjustRightInd w:val="0"/>
              <w:spacing w:before="120" w:beforeLines="5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留学生数</w:t>
            </w:r>
          </w:p>
        </w:tc>
        <w:tc>
          <w:tcPr>
            <w:tcW w:w="364" w:type="pct"/>
            <w:vAlign w:val="center"/>
          </w:tcPr>
          <w:p>
            <w:pPr>
              <w:autoSpaceDE w:val="0"/>
              <w:autoSpaceDN w:val="0"/>
              <w:adjustRightInd w:val="0"/>
              <w:spacing w:before="120" w:beforeLines="50"/>
              <w:jc w:val="center"/>
              <w:rPr>
                <w:rFonts w:hint="eastAsia" w:ascii="宋体" w:hAnsi="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已转段预科生数</w:t>
            </w:r>
          </w:p>
        </w:tc>
        <w:tc>
          <w:tcPr>
            <w:tcW w:w="350" w:type="pct"/>
            <w:vMerge w:val="continue"/>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全日制</w:t>
            </w:r>
          </w:p>
        </w:tc>
        <w:tc>
          <w:tcPr>
            <w:tcW w:w="353" w:type="pct"/>
            <w:vAlign w:val="center"/>
          </w:tcPr>
          <w:p>
            <w:pPr>
              <w:autoSpaceDE w:val="0"/>
              <w:autoSpaceDN w:val="0"/>
              <w:adjustRightInd w:val="0"/>
              <w:spacing w:before="120" w:beforeLines="5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非全日制</w:t>
            </w:r>
          </w:p>
        </w:tc>
        <w:tc>
          <w:tcPr>
            <w:tcW w:w="352" w:type="pct"/>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hAnsi="宋体" w:cs="宋体"/>
                <w:b/>
                <w:bCs/>
                <w:color w:val="auto"/>
                <w:sz w:val="24"/>
                <w:szCs w:val="24"/>
                <w:highlight w:val="none"/>
                <w:vertAlign w:val="baseline"/>
                <w:lang w:eastAsia="zh-CN"/>
              </w:rPr>
              <w:t>全日制</w:t>
            </w:r>
          </w:p>
        </w:tc>
        <w:tc>
          <w:tcPr>
            <w:tcW w:w="353" w:type="pct"/>
            <w:vAlign w:val="center"/>
          </w:tcPr>
          <w:p>
            <w:pPr>
              <w:autoSpaceDE w:val="0"/>
              <w:autoSpaceDN w:val="0"/>
              <w:adjustRightInd w:val="0"/>
              <w:spacing w:before="120" w:beforeLines="50"/>
              <w:jc w:val="center"/>
              <w:rPr>
                <w:rFonts w:ascii="宋体" w:hAnsi="宋体" w:eastAsia="宋体" w:cs="宋体"/>
                <w:b/>
                <w:bCs/>
                <w:color w:val="auto"/>
                <w:sz w:val="24"/>
                <w:szCs w:val="24"/>
                <w:highlight w:val="none"/>
                <w:vertAlign w:val="baseline"/>
              </w:rPr>
            </w:pPr>
            <w:r>
              <w:rPr>
                <w:rFonts w:hint="eastAsia" w:ascii="宋体" w:hAnsi="宋体" w:cs="宋体"/>
                <w:b/>
                <w:bCs/>
                <w:color w:val="auto"/>
                <w:sz w:val="24"/>
                <w:szCs w:val="24"/>
                <w:highlight w:val="none"/>
                <w:vertAlign w:val="baseline"/>
                <w:lang w:eastAsia="zh-CN"/>
              </w:rPr>
              <w:t>非全日制</w:t>
            </w:r>
          </w:p>
        </w:tc>
        <w:tc>
          <w:tcPr>
            <w:tcW w:w="352" w:type="pct"/>
            <w:vMerge w:val="continue"/>
            <w:vAlign w:val="center"/>
          </w:tcPr>
          <w:p>
            <w:pPr>
              <w:autoSpaceDE w:val="0"/>
              <w:autoSpaceDN w:val="0"/>
              <w:adjustRightInd w:val="0"/>
              <w:spacing w:before="120" w:beforeLines="50"/>
              <w:jc w:val="center"/>
              <w:rPr>
                <w:rFonts w:hint="eastAsia" w:ascii="宋体" w:hAnsi="宋体" w:eastAsia="宋体" w:cs="宋体"/>
                <w:color w:val="auto"/>
                <w:sz w:val="24"/>
                <w:szCs w:val="24"/>
                <w:highlight w:val="none"/>
                <w:vertAlign w:val="baseline"/>
                <w:lang w:eastAsia="zh-CN"/>
              </w:rPr>
            </w:pPr>
          </w:p>
        </w:tc>
        <w:tc>
          <w:tcPr>
            <w:tcW w:w="352" w:type="pct"/>
            <w:vMerge w:val="continue"/>
            <w:vAlign w:val="center"/>
          </w:tcPr>
          <w:p>
            <w:pPr>
              <w:autoSpaceDE w:val="0"/>
              <w:autoSpaceDN w:val="0"/>
              <w:adjustRightInd w:val="0"/>
              <w:spacing w:before="120" w:beforeLines="50"/>
              <w:jc w:val="center"/>
              <w:rPr>
                <w:rFonts w:hint="eastAsia" w:ascii="宋体"/>
                <w:color w:val="auto"/>
                <w:kern w:val="0"/>
                <w:sz w:val="20"/>
                <w:szCs w:val="20"/>
                <w:highlight w:val="none"/>
                <w:lang w:val="zh-CN"/>
              </w:rPr>
            </w:pPr>
          </w:p>
        </w:tc>
        <w:tc>
          <w:tcPr>
            <w:tcW w:w="352" w:type="pct"/>
            <w:vMerge w:val="continue"/>
            <w:vAlign w:val="center"/>
          </w:tcPr>
          <w:p>
            <w:pPr>
              <w:autoSpaceDE w:val="0"/>
              <w:autoSpaceDN w:val="0"/>
              <w:adjustRightInd w:val="0"/>
              <w:spacing w:before="120" w:beforeLines="50"/>
              <w:jc w:val="center"/>
              <w:rPr>
                <w:rFonts w:hint="eastAsia" w:ascii="宋体"/>
                <w:color w:val="auto"/>
                <w:kern w:val="0"/>
                <w:sz w:val="20"/>
                <w:szCs w:val="20"/>
                <w:highlight w:val="none"/>
                <w:lang w:val="zh-CN"/>
              </w:rPr>
            </w:pPr>
          </w:p>
        </w:tc>
        <w:tc>
          <w:tcPr>
            <w:tcW w:w="352" w:type="pct"/>
            <w:vMerge w:val="continue"/>
            <w:vAlign w:val="center"/>
          </w:tcPr>
          <w:p>
            <w:pPr>
              <w:autoSpaceDE w:val="0"/>
              <w:autoSpaceDN w:val="0"/>
              <w:adjustRightInd w:val="0"/>
              <w:spacing w:before="120" w:beforeLines="50"/>
              <w:jc w:val="center"/>
              <w:rPr>
                <w:rFonts w:hint="eastAsia" w:ascii="宋体"/>
                <w:color w:val="auto"/>
                <w:kern w:val="0"/>
                <w:sz w:val="20"/>
                <w:szCs w:val="20"/>
                <w:highlight w:val="none"/>
                <w:lang w:val="zh-CN"/>
              </w:rPr>
            </w:pPr>
          </w:p>
        </w:tc>
        <w:tc>
          <w:tcPr>
            <w:tcW w:w="353" w:type="pct"/>
            <w:vMerge w:val="continue"/>
            <w:vAlign w:val="center"/>
          </w:tcPr>
          <w:p>
            <w:pPr>
              <w:autoSpaceDE w:val="0"/>
              <w:autoSpaceDN w:val="0"/>
              <w:adjustRightInd w:val="0"/>
              <w:spacing w:before="120" w:beforeLines="50"/>
              <w:jc w:val="center"/>
              <w:rPr>
                <w:rFonts w:hint="eastAsia" w:ascii="宋体"/>
                <w:color w:val="auto"/>
                <w:kern w:val="0"/>
                <w:sz w:val="20"/>
                <w:szCs w:val="20"/>
                <w:highlight w:val="none"/>
                <w:lang w:val="zh-CN"/>
              </w:rPr>
            </w:pPr>
          </w:p>
        </w:tc>
        <w:tc>
          <w:tcPr>
            <w:tcW w:w="396" w:type="pct"/>
            <w:vMerge w:val="continue"/>
            <w:vAlign w:val="center"/>
          </w:tcPr>
          <w:p>
            <w:pPr>
              <w:autoSpaceDE w:val="0"/>
              <w:autoSpaceDN w:val="0"/>
              <w:adjustRightInd w:val="0"/>
              <w:spacing w:before="120" w:beforeLines="50"/>
              <w:jc w:val="center"/>
              <w:rPr>
                <w:rFonts w:hint="eastAsia" w:ascii="宋体"/>
                <w:color w:val="auto"/>
                <w:kern w:val="0"/>
                <w:sz w:val="20"/>
                <w:szCs w:val="2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autoSpaceDE w:val="0"/>
              <w:autoSpaceDN w:val="0"/>
              <w:adjustRightInd w:val="0"/>
              <w:spacing w:before="120" w:beforeLines="50"/>
              <w:jc w:val="center"/>
              <w:rPr>
                <w:rFonts w:hint="eastAsia" w:ascii="宋体" w:hAnsi="宋体" w:cs="宋体"/>
                <w:color w:val="auto"/>
                <w:sz w:val="24"/>
                <w:szCs w:val="24"/>
                <w:highlight w:val="none"/>
                <w:vertAlign w:val="baseline"/>
                <w:lang w:eastAsia="zh-CN"/>
              </w:rPr>
            </w:pPr>
          </w:p>
        </w:tc>
        <w:tc>
          <w:tcPr>
            <w:tcW w:w="358" w:type="pct"/>
            <w:vAlign w:val="center"/>
          </w:tcPr>
          <w:p>
            <w:pPr>
              <w:autoSpaceDE w:val="0"/>
              <w:autoSpaceDN w:val="0"/>
              <w:adjustRightInd w:val="0"/>
              <w:spacing w:before="120" w:beforeLines="50"/>
              <w:jc w:val="center"/>
              <w:rPr>
                <w:rFonts w:hint="eastAsia" w:ascii="宋体" w:hAnsi="宋体" w:eastAsia="宋体" w:cs="宋体"/>
                <w:color w:val="auto"/>
                <w:sz w:val="24"/>
                <w:szCs w:val="24"/>
                <w:highlight w:val="none"/>
                <w:vertAlign w:val="baseline"/>
                <w:lang w:eastAsia="zh-CN"/>
              </w:rPr>
            </w:pPr>
          </w:p>
        </w:tc>
        <w:tc>
          <w:tcPr>
            <w:tcW w:w="364"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0"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3"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3"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2"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53"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c>
          <w:tcPr>
            <w:tcW w:w="396" w:type="pct"/>
            <w:vAlign w:val="center"/>
          </w:tcPr>
          <w:p>
            <w:pPr>
              <w:autoSpaceDE w:val="0"/>
              <w:autoSpaceDN w:val="0"/>
              <w:adjustRightInd w:val="0"/>
              <w:spacing w:before="120" w:beforeLines="50"/>
              <w:jc w:val="center"/>
              <w:rPr>
                <w:rFonts w:ascii="宋体" w:hAnsi="宋体" w:eastAsia="宋体" w:cs="宋体"/>
                <w:color w:val="auto"/>
                <w:sz w:val="24"/>
                <w:szCs w:val="24"/>
                <w:highlight w:val="none"/>
                <w:vertAlign w:val="baseline"/>
              </w:rPr>
            </w:pPr>
          </w:p>
        </w:tc>
      </w:tr>
    </w:tbl>
    <w:p>
      <w:pPr>
        <w:tabs>
          <w:tab w:val="center" w:pos="4702"/>
        </w:tabs>
        <w:autoSpaceDE w:val="0"/>
        <w:autoSpaceDN w:val="0"/>
        <w:adjustRightInd w:val="0"/>
        <w:spacing w:after="120" w:afterLines="50"/>
        <w:rPr>
          <w:rFonts w:hint="eastAsia" w:ascii="宋体" w:cs="宋体"/>
          <w:b w:val="0"/>
          <w:bCs/>
          <w:color w:val="auto"/>
          <w:kern w:val="0"/>
          <w:sz w:val="20"/>
          <w:szCs w:val="20"/>
          <w:highlight w:val="none"/>
          <w:lang w:val="en-US" w:eastAsia="zh-CN"/>
        </w:rPr>
      </w:pPr>
      <w:r>
        <w:rPr>
          <w:rFonts w:hint="eastAsia" w:ascii="宋体" w:cs="宋体"/>
          <w:b w:val="0"/>
          <w:bCs/>
          <w:color w:val="auto"/>
          <w:kern w:val="0"/>
          <w:sz w:val="20"/>
          <w:szCs w:val="20"/>
          <w:highlight w:val="none"/>
          <w:lang w:val="en-US" w:eastAsia="zh-CN"/>
        </w:rPr>
        <w:t>注：各类学生统计时间截点与基本状态数据采集一致。</w:t>
      </w:r>
    </w:p>
    <w:p>
      <w:pPr>
        <w:tabs>
          <w:tab w:val="center" w:pos="4702"/>
        </w:tabs>
        <w:autoSpaceDE w:val="0"/>
        <w:autoSpaceDN w:val="0"/>
        <w:adjustRightInd w:val="0"/>
        <w:spacing w:after="120" w:afterLines="50"/>
        <w:rPr>
          <w:rFonts w:hint="default" w:ascii="宋体" w:eastAsia="宋体" w:cs="宋体"/>
          <w:b/>
          <w:color w:val="auto"/>
          <w:kern w:val="0"/>
          <w:sz w:val="20"/>
          <w:szCs w:val="20"/>
          <w:highlight w:val="none"/>
          <w:lang w:val="en-US" w:eastAsia="zh-CN"/>
        </w:rPr>
      </w:pPr>
      <w:r>
        <w:rPr>
          <w:rFonts w:hint="eastAsia" w:ascii="宋体" w:cs="宋体"/>
          <w:b/>
          <w:color w:val="auto"/>
          <w:kern w:val="0"/>
          <w:sz w:val="20"/>
          <w:szCs w:val="20"/>
          <w:highlight w:val="none"/>
          <w:lang w:val="en-US" w:eastAsia="zh-CN"/>
        </w:rPr>
        <w:t>2.留学生情况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3"/>
        <w:gridCol w:w="3233"/>
        <w:gridCol w:w="3234"/>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4" w:type="dxa"/>
            <w:gridSpan w:val="4"/>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留学生数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3"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总计</w:t>
            </w:r>
          </w:p>
        </w:tc>
        <w:tc>
          <w:tcPr>
            <w:tcW w:w="3233"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本科生</w:t>
            </w:r>
          </w:p>
        </w:tc>
        <w:tc>
          <w:tcPr>
            <w:tcW w:w="3234"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硕士研究生</w:t>
            </w:r>
          </w:p>
        </w:tc>
        <w:tc>
          <w:tcPr>
            <w:tcW w:w="3234"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3"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3233"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3234"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3234" w:type="dxa"/>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r>
    </w:tbl>
    <w:p>
      <w:pPr>
        <w:tabs>
          <w:tab w:val="center" w:pos="4702"/>
        </w:tabs>
        <w:autoSpaceDE w:val="0"/>
        <w:autoSpaceDN w:val="0"/>
        <w:adjustRightInd w:val="0"/>
        <w:spacing w:after="120" w:afterLines="50"/>
        <w:rPr>
          <w:rFonts w:hint="eastAsia" w:ascii="宋体" w:cs="宋体"/>
          <w:b/>
          <w:color w:val="auto"/>
          <w:kern w:val="0"/>
          <w:sz w:val="20"/>
          <w:szCs w:val="20"/>
          <w:highlight w:val="none"/>
          <w:lang w:val="en-US" w:eastAsia="zh-CN"/>
        </w:rPr>
      </w:pPr>
    </w:p>
    <w:p>
      <w:pPr>
        <w:tabs>
          <w:tab w:val="center" w:pos="4702"/>
        </w:tabs>
        <w:autoSpaceDE w:val="0"/>
        <w:autoSpaceDN w:val="0"/>
        <w:adjustRightInd w:val="0"/>
        <w:spacing w:after="120" w:afterLines="50"/>
        <w:rPr>
          <w:rFonts w:hint="default" w:ascii="宋体" w:eastAsia="宋体" w:cs="宋体"/>
          <w:b/>
          <w:color w:val="auto"/>
          <w:kern w:val="0"/>
          <w:sz w:val="20"/>
          <w:szCs w:val="20"/>
          <w:highlight w:val="none"/>
          <w:lang w:val="en-US" w:eastAsia="zh-CN"/>
        </w:rPr>
      </w:pPr>
      <w:r>
        <w:rPr>
          <w:rFonts w:hint="eastAsia" w:ascii="宋体" w:cs="宋体"/>
          <w:b/>
          <w:color w:val="auto"/>
          <w:kern w:val="0"/>
          <w:sz w:val="20"/>
          <w:szCs w:val="20"/>
          <w:highlight w:val="none"/>
          <w:lang w:val="en-US" w:eastAsia="zh-CN"/>
        </w:rPr>
        <w:t>2.少数民族学生情况</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3"/>
        <w:gridCol w:w="2584"/>
        <w:gridCol w:w="2584"/>
        <w:gridCol w:w="2584"/>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lang w:val="en-US" w:eastAsia="zh-CN"/>
              </w:rPr>
            </w:pPr>
            <w:r>
              <w:rPr>
                <w:rFonts w:hint="eastAsia" w:ascii="宋体" w:cs="宋体"/>
                <w:b/>
                <w:color w:val="auto"/>
                <w:kern w:val="0"/>
                <w:sz w:val="20"/>
                <w:szCs w:val="20"/>
                <w:highlight w:val="none"/>
                <w:lang w:val="en-US" w:eastAsia="zh-CN"/>
              </w:rPr>
              <w:t>少数民族学生数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总计</w:t>
            </w: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本科生</w:t>
            </w: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专科生</w:t>
            </w: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研究生</w:t>
            </w:r>
          </w:p>
        </w:tc>
        <w:tc>
          <w:tcPr>
            <w:tcW w:w="1000"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r>
              <w:rPr>
                <w:rFonts w:hint="eastAsia" w:ascii="宋体" w:cs="宋体"/>
                <w:b/>
                <w:color w:val="auto"/>
                <w:kern w:val="0"/>
                <w:sz w:val="20"/>
                <w:szCs w:val="20"/>
                <w:highlight w:val="none"/>
                <w:vertAlign w:val="baseline"/>
                <w:lang w:val="zh-CN"/>
              </w:rPr>
              <w:t>预科班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999"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c>
          <w:tcPr>
            <w:tcW w:w="1000" w:type="pct"/>
            <w:vAlign w:val="center"/>
          </w:tcPr>
          <w:p>
            <w:pPr>
              <w:tabs>
                <w:tab w:val="center" w:pos="4702"/>
              </w:tabs>
              <w:autoSpaceDE w:val="0"/>
              <w:autoSpaceDN w:val="0"/>
              <w:adjustRightInd w:val="0"/>
              <w:spacing w:after="120" w:afterLines="50"/>
              <w:jc w:val="center"/>
              <w:rPr>
                <w:rFonts w:hint="eastAsia" w:ascii="宋体" w:cs="宋体"/>
                <w:b/>
                <w:color w:val="auto"/>
                <w:kern w:val="0"/>
                <w:sz w:val="20"/>
                <w:szCs w:val="20"/>
                <w:highlight w:val="none"/>
                <w:vertAlign w:val="baseline"/>
                <w:lang w:val="zh-CN"/>
              </w:rPr>
            </w:pPr>
          </w:p>
        </w:tc>
      </w:tr>
    </w:tbl>
    <w:p>
      <w:pPr>
        <w:tabs>
          <w:tab w:val="center" w:pos="4702"/>
        </w:tabs>
        <w:autoSpaceDE w:val="0"/>
        <w:autoSpaceDN w:val="0"/>
        <w:adjustRightInd w:val="0"/>
        <w:spacing w:after="120" w:afterLines="50"/>
        <w:ind w:firstLine="197" w:firstLineChars="98"/>
        <w:rPr>
          <w:rFonts w:hint="eastAsia" w:ascii="宋体" w:cs="宋体"/>
          <w:b/>
          <w:color w:val="auto"/>
          <w:kern w:val="0"/>
          <w:sz w:val="20"/>
          <w:szCs w:val="20"/>
          <w:highlight w:val="none"/>
          <w:lang w:val="zh-CN"/>
        </w:rPr>
      </w:pPr>
    </w:p>
    <w:p>
      <w:pPr>
        <w:rPr>
          <w:rFonts w:hint="eastAsia" w:ascii="宋体" w:cs="宋体"/>
          <w:b/>
          <w:color w:val="auto"/>
          <w:kern w:val="0"/>
          <w:sz w:val="20"/>
          <w:szCs w:val="20"/>
          <w:highlight w:val="none"/>
          <w:lang w:val="zh-CN"/>
        </w:rPr>
      </w:pPr>
      <w:r>
        <w:rPr>
          <w:rFonts w:hint="eastAsia" w:ascii="宋体" w:cs="宋体"/>
          <w:b/>
          <w:color w:val="auto"/>
          <w:kern w:val="0"/>
          <w:sz w:val="20"/>
          <w:szCs w:val="20"/>
          <w:highlight w:val="none"/>
          <w:lang w:val="zh-CN"/>
        </w:rPr>
        <w:br w:type="page"/>
      </w:r>
    </w:p>
    <w:p>
      <w:pPr>
        <w:numPr>
          <w:ilvl w:val="0"/>
          <w:numId w:val="1"/>
        </w:numPr>
        <w:tabs>
          <w:tab w:val="center" w:pos="4702"/>
          <w:tab w:val="clear" w:pos="0"/>
        </w:tabs>
        <w:autoSpaceDE w:val="0"/>
        <w:autoSpaceDN w:val="0"/>
        <w:adjustRightInd w:val="0"/>
        <w:spacing w:after="120" w:afterLines="50"/>
        <w:ind w:left="0" w:leftChars="0" w:firstLine="0" w:firstLineChars="0"/>
        <w:rPr>
          <w:rFonts w:hint="eastAsia" w:ascii="宋体" w:cs="宋体"/>
          <w:b/>
          <w:color w:val="auto"/>
          <w:kern w:val="0"/>
          <w:sz w:val="20"/>
          <w:szCs w:val="20"/>
          <w:highlight w:val="none"/>
          <w:lang w:val="zh-CN"/>
        </w:rPr>
      </w:pPr>
      <w:r>
        <w:rPr>
          <w:rFonts w:hint="eastAsia" w:ascii="宋体" w:cs="宋体"/>
          <w:b/>
          <w:color w:val="auto"/>
          <w:kern w:val="0"/>
          <w:sz w:val="20"/>
          <w:szCs w:val="20"/>
          <w:highlight w:val="none"/>
          <w:lang w:val="zh-CN"/>
        </w:rPr>
        <w:t>各专业教师数量及结构</w:t>
      </w:r>
    </w:p>
    <w:p>
      <w:pPr>
        <w:numPr>
          <w:ilvl w:val="0"/>
          <w:numId w:val="0"/>
        </w:numPr>
        <w:tabs>
          <w:tab w:val="center" w:pos="4702"/>
        </w:tabs>
        <w:autoSpaceDE w:val="0"/>
        <w:autoSpaceDN w:val="0"/>
        <w:adjustRightInd w:val="0"/>
        <w:spacing w:after="120" w:afterLines="50"/>
        <w:ind w:leftChars="0"/>
        <w:rPr>
          <w:rFonts w:hint="default" w:ascii="宋体" w:eastAsia="宋体" w:cs="宋体"/>
          <w:b w:val="0"/>
          <w:bCs/>
          <w:color w:val="auto"/>
          <w:kern w:val="0"/>
          <w:sz w:val="20"/>
          <w:szCs w:val="20"/>
          <w:highlight w:val="none"/>
          <w:lang w:val="en-US" w:eastAsia="zh-CN"/>
        </w:rPr>
      </w:pPr>
      <w:r>
        <w:rPr>
          <w:rFonts w:hint="eastAsia" w:ascii="宋体" w:cs="宋体"/>
          <w:b w:val="0"/>
          <w:bCs/>
          <w:color w:val="auto"/>
          <w:kern w:val="0"/>
          <w:sz w:val="20"/>
          <w:szCs w:val="20"/>
          <w:highlight w:val="none"/>
          <w:lang w:val="en-US" w:eastAsia="zh-CN"/>
        </w:rPr>
        <w:t>1.职称结构</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5"/>
        <w:gridCol w:w="1279"/>
        <w:gridCol w:w="1077"/>
        <w:gridCol w:w="1077"/>
        <w:gridCol w:w="1077"/>
        <w:gridCol w:w="1077"/>
        <w:gridCol w:w="1077"/>
        <w:gridCol w:w="1077"/>
        <w:gridCol w:w="1077"/>
        <w:gridCol w:w="107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61"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序号</w:t>
            </w:r>
          </w:p>
        </w:tc>
        <w:tc>
          <w:tcPr>
            <w:tcW w:w="493"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493"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专业名称</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教授</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副教授</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讲师</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助教</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其他正高级</w:t>
            </w:r>
          </w:p>
        </w:tc>
        <w:tc>
          <w:tcPr>
            <w:tcW w:w="416"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其他副高级</w:t>
            </w:r>
          </w:p>
        </w:tc>
        <w:tc>
          <w:tcPr>
            <w:tcW w:w="416"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其他中级</w:t>
            </w:r>
          </w:p>
        </w:tc>
        <w:tc>
          <w:tcPr>
            <w:tcW w:w="416"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其他初级</w:t>
            </w:r>
          </w:p>
        </w:tc>
        <w:tc>
          <w:tcPr>
            <w:tcW w:w="418"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9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9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8"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9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9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8"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gridSpan w:val="3"/>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r>
              <w:rPr>
                <w:rFonts w:hint="eastAsia" w:ascii="宋体" w:cs="宋体"/>
                <w:color w:val="auto"/>
                <w:kern w:val="0"/>
                <w:sz w:val="20"/>
                <w:szCs w:val="20"/>
                <w:highlight w:val="none"/>
                <w:vertAlign w:val="baseline"/>
                <w:lang w:val="zh-CN"/>
              </w:rPr>
              <w:t>总计</w:t>
            </w: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418"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bl>
    <w:p>
      <w:pPr>
        <w:numPr>
          <w:ilvl w:val="0"/>
          <w:numId w:val="0"/>
        </w:numPr>
        <w:tabs>
          <w:tab w:val="center" w:pos="4702"/>
        </w:tabs>
        <w:autoSpaceDE w:val="0"/>
        <w:autoSpaceDN w:val="0"/>
        <w:adjustRightInd w:val="0"/>
        <w:spacing w:after="120" w:afterLines="50"/>
        <w:ind w:leftChars="0"/>
        <w:rPr>
          <w:rFonts w:hint="eastAsia" w:ascii="宋体" w:cs="宋体"/>
          <w:b w:val="0"/>
          <w:bCs/>
          <w:color w:val="auto"/>
          <w:kern w:val="0"/>
          <w:sz w:val="20"/>
          <w:szCs w:val="20"/>
          <w:highlight w:val="none"/>
          <w:lang w:val="en-US" w:eastAsia="zh-CN"/>
        </w:rPr>
      </w:pPr>
    </w:p>
    <w:p>
      <w:pPr>
        <w:numPr>
          <w:ilvl w:val="0"/>
          <w:numId w:val="0"/>
        </w:numPr>
        <w:tabs>
          <w:tab w:val="center" w:pos="4702"/>
        </w:tabs>
        <w:autoSpaceDE w:val="0"/>
        <w:autoSpaceDN w:val="0"/>
        <w:adjustRightInd w:val="0"/>
        <w:spacing w:after="120" w:afterLines="50"/>
        <w:ind w:leftChars="0"/>
        <w:rPr>
          <w:rFonts w:hint="default" w:ascii="宋体" w:eastAsia="宋体" w:cs="宋体"/>
          <w:b w:val="0"/>
          <w:bCs/>
          <w:color w:val="auto"/>
          <w:kern w:val="0"/>
          <w:sz w:val="20"/>
          <w:szCs w:val="20"/>
          <w:highlight w:val="none"/>
          <w:lang w:val="en-US" w:eastAsia="zh-CN"/>
        </w:rPr>
      </w:pPr>
      <w:r>
        <w:rPr>
          <w:rFonts w:hint="eastAsia" w:ascii="宋体" w:cs="宋体"/>
          <w:b w:val="0"/>
          <w:bCs/>
          <w:color w:val="auto"/>
          <w:kern w:val="0"/>
          <w:sz w:val="20"/>
          <w:szCs w:val="20"/>
          <w:highlight w:val="none"/>
          <w:lang w:val="en-US" w:eastAsia="zh-CN"/>
        </w:rPr>
        <w:t>2.学位结构</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2670"/>
        <w:gridCol w:w="2199"/>
        <w:gridCol w:w="1845"/>
        <w:gridCol w:w="1845"/>
        <w:gridCol w:w="184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62"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序号</w:t>
            </w:r>
          </w:p>
        </w:tc>
        <w:tc>
          <w:tcPr>
            <w:tcW w:w="1032"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849"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专业名称</w:t>
            </w:r>
          </w:p>
        </w:tc>
        <w:tc>
          <w:tcPr>
            <w:tcW w:w="713"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博士</w:t>
            </w:r>
          </w:p>
        </w:tc>
        <w:tc>
          <w:tcPr>
            <w:tcW w:w="713"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硕士</w:t>
            </w:r>
          </w:p>
        </w:tc>
        <w:tc>
          <w:tcPr>
            <w:tcW w:w="714"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学士</w:t>
            </w:r>
          </w:p>
        </w:tc>
        <w:tc>
          <w:tcPr>
            <w:tcW w:w="714"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无学位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10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10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pct"/>
            <w:gridSpan w:val="3"/>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r>
              <w:rPr>
                <w:rFonts w:hint="eastAsia" w:ascii="宋体" w:cs="宋体"/>
                <w:color w:val="auto"/>
                <w:kern w:val="0"/>
                <w:sz w:val="20"/>
                <w:szCs w:val="20"/>
                <w:highlight w:val="none"/>
                <w:vertAlign w:val="baseline"/>
                <w:lang w:val="zh-CN"/>
              </w:rPr>
              <w:t>总计</w:t>
            </w: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bl>
    <w:p>
      <w:pPr>
        <w:numPr>
          <w:ilvl w:val="0"/>
          <w:numId w:val="0"/>
        </w:numPr>
        <w:tabs>
          <w:tab w:val="center" w:pos="4702"/>
        </w:tabs>
        <w:autoSpaceDE w:val="0"/>
        <w:autoSpaceDN w:val="0"/>
        <w:adjustRightInd w:val="0"/>
        <w:spacing w:after="120" w:afterLines="50"/>
        <w:ind w:leftChars="0"/>
        <w:rPr>
          <w:rFonts w:hint="eastAsia" w:ascii="宋体" w:cs="宋体"/>
          <w:b w:val="0"/>
          <w:bCs/>
          <w:color w:val="auto"/>
          <w:kern w:val="0"/>
          <w:sz w:val="20"/>
          <w:szCs w:val="20"/>
          <w:highlight w:val="none"/>
          <w:lang w:val="en-US" w:eastAsia="zh-CN"/>
        </w:rPr>
      </w:pPr>
    </w:p>
    <w:p>
      <w:pPr>
        <w:numPr>
          <w:ilvl w:val="0"/>
          <w:numId w:val="0"/>
        </w:numPr>
        <w:tabs>
          <w:tab w:val="center" w:pos="4702"/>
        </w:tabs>
        <w:autoSpaceDE w:val="0"/>
        <w:autoSpaceDN w:val="0"/>
        <w:adjustRightInd w:val="0"/>
        <w:spacing w:after="120" w:afterLines="50"/>
        <w:ind w:leftChars="0"/>
        <w:rPr>
          <w:rFonts w:hint="default" w:ascii="宋体" w:eastAsia="宋体" w:cs="宋体"/>
          <w:b w:val="0"/>
          <w:bCs/>
          <w:color w:val="auto"/>
          <w:kern w:val="0"/>
          <w:sz w:val="20"/>
          <w:szCs w:val="20"/>
          <w:highlight w:val="none"/>
          <w:lang w:val="en-US" w:eastAsia="zh-CN"/>
        </w:rPr>
      </w:pPr>
      <w:r>
        <w:rPr>
          <w:rFonts w:hint="eastAsia" w:ascii="宋体" w:cs="宋体"/>
          <w:b w:val="0"/>
          <w:bCs/>
          <w:color w:val="auto"/>
          <w:kern w:val="0"/>
          <w:sz w:val="20"/>
          <w:szCs w:val="20"/>
          <w:highlight w:val="none"/>
          <w:lang w:val="en-US" w:eastAsia="zh-CN"/>
        </w:rPr>
        <w:t>3.年龄结构</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186"/>
        <w:gridCol w:w="2199"/>
        <w:gridCol w:w="1845"/>
        <w:gridCol w:w="1845"/>
        <w:gridCol w:w="184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49"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序号</w:t>
            </w:r>
          </w:p>
        </w:tc>
        <w:tc>
          <w:tcPr>
            <w:tcW w:w="845" w:type="pc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849"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专业名称</w:t>
            </w:r>
          </w:p>
        </w:tc>
        <w:tc>
          <w:tcPr>
            <w:tcW w:w="713"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35岁及以下</w:t>
            </w:r>
          </w:p>
        </w:tc>
        <w:tc>
          <w:tcPr>
            <w:tcW w:w="713"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36-45岁</w:t>
            </w:r>
          </w:p>
        </w:tc>
        <w:tc>
          <w:tcPr>
            <w:tcW w:w="714"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46-55岁</w:t>
            </w:r>
          </w:p>
        </w:tc>
        <w:tc>
          <w:tcPr>
            <w:tcW w:w="714" w:type="pct"/>
            <w:vAlign w:val="center"/>
          </w:tcPr>
          <w:p>
            <w:pPr>
              <w:autoSpaceDE w:val="0"/>
              <w:autoSpaceDN w:val="0"/>
              <w:adjustRightInd w:val="0"/>
              <w:spacing w:before="120" w:beforeLines="50"/>
              <w:jc w:val="center"/>
              <w:rPr>
                <w:rFonts w:hint="default"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en-US" w:eastAsia="zh-CN"/>
              </w:rPr>
              <w:t>55岁及以上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5"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5"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49"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pct"/>
            <w:gridSpan w:val="3"/>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r>
              <w:rPr>
                <w:rFonts w:hint="eastAsia" w:ascii="宋体" w:cs="宋体"/>
                <w:color w:val="auto"/>
                <w:kern w:val="0"/>
                <w:sz w:val="20"/>
                <w:szCs w:val="20"/>
                <w:highlight w:val="none"/>
                <w:vertAlign w:val="baseline"/>
                <w:lang w:val="zh-CN"/>
              </w:rPr>
              <w:t>总计</w:t>
            </w: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3"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714"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bl>
    <w:p>
      <w:pPr>
        <w:numPr>
          <w:ilvl w:val="0"/>
          <w:numId w:val="0"/>
        </w:numPr>
        <w:tabs>
          <w:tab w:val="center" w:pos="4702"/>
        </w:tabs>
        <w:autoSpaceDE w:val="0"/>
        <w:autoSpaceDN w:val="0"/>
        <w:adjustRightInd w:val="0"/>
        <w:spacing w:after="120" w:afterLines="50"/>
        <w:ind w:leftChars="0"/>
        <w:rPr>
          <w:rFonts w:hint="eastAsia" w:ascii="宋体" w:cs="宋体"/>
          <w:b w:val="0"/>
          <w:bCs/>
          <w:color w:val="auto"/>
          <w:kern w:val="0"/>
          <w:sz w:val="20"/>
          <w:szCs w:val="20"/>
          <w:highlight w:val="none"/>
          <w:lang w:val="en-US" w:eastAsia="zh-CN"/>
        </w:rPr>
      </w:pPr>
    </w:p>
    <w:p>
      <w:pPr>
        <w:numPr>
          <w:ilvl w:val="0"/>
          <w:numId w:val="0"/>
        </w:numPr>
        <w:tabs>
          <w:tab w:val="center" w:pos="4702"/>
        </w:tabs>
        <w:autoSpaceDE w:val="0"/>
        <w:autoSpaceDN w:val="0"/>
        <w:adjustRightInd w:val="0"/>
        <w:spacing w:after="120" w:afterLines="50"/>
        <w:ind w:leftChars="0"/>
        <w:rPr>
          <w:rFonts w:hint="default" w:ascii="宋体" w:eastAsia="宋体" w:cs="宋体"/>
          <w:b w:val="0"/>
          <w:bCs/>
          <w:color w:val="auto"/>
          <w:kern w:val="0"/>
          <w:sz w:val="20"/>
          <w:szCs w:val="20"/>
          <w:highlight w:val="none"/>
          <w:lang w:val="en-US" w:eastAsia="zh-CN"/>
        </w:rPr>
      </w:pPr>
      <w:r>
        <w:rPr>
          <w:rFonts w:hint="eastAsia" w:ascii="宋体" w:cs="宋体"/>
          <w:b w:val="0"/>
          <w:bCs/>
          <w:color w:val="auto"/>
          <w:kern w:val="0"/>
          <w:sz w:val="20"/>
          <w:szCs w:val="20"/>
          <w:highlight w:val="none"/>
          <w:lang w:val="en-US" w:eastAsia="zh-CN"/>
        </w:rPr>
        <w:t>4.学缘结构</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551"/>
        <w:gridCol w:w="2564"/>
        <w:gridCol w:w="2152"/>
        <w:gridCol w:w="2152"/>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21" w:type="pct"/>
            <w:vMerge w:val="restar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序号</w:t>
            </w:r>
          </w:p>
        </w:tc>
        <w:tc>
          <w:tcPr>
            <w:tcW w:w="986" w:type="pct"/>
            <w:vMerge w:val="restart"/>
            <w:vAlign w:val="center"/>
          </w:tcPr>
          <w:p>
            <w:pPr>
              <w:autoSpaceDE w:val="0"/>
              <w:autoSpaceDN w:val="0"/>
              <w:adjustRightInd w:val="0"/>
              <w:spacing w:before="120" w:beforeLines="50"/>
              <w:jc w:val="center"/>
              <w:rPr>
                <w:rFonts w:hint="eastAsia" w:ascii="宋体" w:hAnsi="Calibri" w:eastAsia="宋体" w:cs="宋体"/>
                <w:b/>
                <w:bCs/>
                <w:color w:val="auto"/>
                <w:kern w:val="0"/>
                <w:sz w:val="20"/>
                <w:szCs w:val="20"/>
                <w:highlight w:val="none"/>
                <w:vertAlign w:val="baseline"/>
                <w:lang w:val="zh-CN" w:eastAsia="zh-CN" w:bidi="ar-SA"/>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990" w:type="pct"/>
            <w:vMerge w:val="restar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专业名称</w:t>
            </w:r>
          </w:p>
        </w:tc>
        <w:tc>
          <w:tcPr>
            <w:tcW w:w="832" w:type="pct"/>
            <w:vMerge w:val="restar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本校</w:t>
            </w:r>
          </w:p>
        </w:tc>
        <w:tc>
          <w:tcPr>
            <w:tcW w:w="1669" w:type="pct"/>
            <w:gridSpan w:val="2"/>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外校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21" w:type="pct"/>
            <w:vMerge w:val="continue"/>
            <w:vAlign w:val="center"/>
          </w:tcPr>
          <w:p>
            <w:pPr>
              <w:autoSpaceDE w:val="0"/>
              <w:autoSpaceDN w:val="0"/>
              <w:adjustRightInd w:val="0"/>
              <w:spacing w:before="120" w:beforeLines="50"/>
              <w:jc w:val="center"/>
            </w:pPr>
          </w:p>
        </w:tc>
        <w:tc>
          <w:tcPr>
            <w:tcW w:w="986" w:type="pct"/>
            <w:vMerge w:val="continue"/>
            <w:vAlign w:val="center"/>
          </w:tcPr>
          <w:p>
            <w:pPr>
              <w:autoSpaceDE w:val="0"/>
              <w:autoSpaceDN w:val="0"/>
              <w:adjustRightInd w:val="0"/>
              <w:spacing w:before="120" w:beforeLines="50"/>
              <w:jc w:val="center"/>
            </w:pPr>
          </w:p>
        </w:tc>
        <w:tc>
          <w:tcPr>
            <w:tcW w:w="990" w:type="pct"/>
            <w:vMerge w:val="continue"/>
            <w:vAlign w:val="center"/>
          </w:tcPr>
          <w:p>
            <w:pPr>
              <w:autoSpaceDE w:val="0"/>
              <w:autoSpaceDN w:val="0"/>
              <w:adjustRightInd w:val="0"/>
              <w:spacing w:before="120" w:beforeLines="50"/>
              <w:jc w:val="center"/>
            </w:pPr>
          </w:p>
        </w:tc>
        <w:tc>
          <w:tcPr>
            <w:tcW w:w="832" w:type="pct"/>
            <w:vMerge w:val="continue"/>
            <w:vAlign w:val="center"/>
          </w:tcPr>
          <w:p>
            <w:pPr>
              <w:autoSpaceDE w:val="0"/>
              <w:autoSpaceDN w:val="0"/>
              <w:adjustRightInd w:val="0"/>
              <w:spacing w:before="120" w:beforeLines="50"/>
              <w:jc w:val="center"/>
            </w:pPr>
          </w:p>
        </w:tc>
        <w:tc>
          <w:tcPr>
            <w:tcW w:w="832" w:type="pct"/>
            <w:vAlign w:val="center"/>
          </w:tcPr>
          <w:p>
            <w:pPr>
              <w:autoSpaceDE w:val="0"/>
              <w:autoSpaceDN w:val="0"/>
              <w:adjustRightInd w:val="0"/>
              <w:spacing w:before="120" w:beforeLines="50"/>
              <w:jc w:val="center"/>
              <w:rPr>
                <w:rFonts w:hint="eastAsia" w:ascii="宋体" w:cs="宋体"/>
                <w:b/>
                <w:bCs/>
                <w:color w:val="auto"/>
                <w:kern w:val="0"/>
                <w:sz w:val="20"/>
                <w:szCs w:val="20"/>
                <w:highlight w:val="none"/>
                <w:vertAlign w:val="baseline"/>
                <w:lang w:val="zh-CN"/>
              </w:rPr>
            </w:pPr>
            <w:r>
              <w:rPr>
                <w:rFonts w:hint="eastAsia" w:ascii="宋体" w:cs="宋体"/>
                <w:b/>
                <w:bCs/>
                <w:color w:val="auto"/>
                <w:kern w:val="0"/>
                <w:sz w:val="20"/>
                <w:szCs w:val="20"/>
                <w:highlight w:val="none"/>
                <w:vertAlign w:val="baseline"/>
                <w:lang w:val="zh-CN"/>
              </w:rPr>
              <w:t>境内</w:t>
            </w:r>
          </w:p>
        </w:tc>
        <w:tc>
          <w:tcPr>
            <w:tcW w:w="837" w:type="pct"/>
            <w:vAlign w:val="center"/>
          </w:tcPr>
          <w:p>
            <w:pPr>
              <w:autoSpaceDE w:val="0"/>
              <w:autoSpaceDN w:val="0"/>
              <w:adjustRightInd w:val="0"/>
              <w:spacing w:before="120" w:beforeLines="50"/>
              <w:jc w:val="center"/>
              <w:rPr>
                <w:rFonts w:hint="eastAsia" w:ascii="宋体" w:eastAsia="宋体" w:cs="宋体"/>
                <w:b/>
                <w:bCs/>
                <w:color w:val="auto"/>
                <w:kern w:val="0"/>
                <w:sz w:val="20"/>
                <w:szCs w:val="20"/>
                <w:highlight w:val="none"/>
                <w:vertAlign w:val="baseline"/>
                <w:lang w:val="en-US" w:eastAsia="zh-CN"/>
              </w:rPr>
            </w:pPr>
            <w:r>
              <w:rPr>
                <w:rFonts w:hint="eastAsia" w:ascii="宋体" w:cs="宋体"/>
                <w:b/>
                <w:bCs/>
                <w:color w:val="auto"/>
                <w:kern w:val="0"/>
                <w:sz w:val="20"/>
                <w:szCs w:val="20"/>
                <w:highlight w:val="none"/>
                <w:vertAlign w:val="baseline"/>
                <w:lang w:val="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98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990"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7"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986"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990"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7"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8" w:type="pct"/>
            <w:gridSpan w:val="3"/>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r>
              <w:rPr>
                <w:rFonts w:hint="eastAsia" w:ascii="宋体" w:cs="宋体"/>
                <w:color w:val="auto"/>
                <w:kern w:val="0"/>
                <w:sz w:val="20"/>
                <w:szCs w:val="20"/>
                <w:highlight w:val="none"/>
                <w:vertAlign w:val="baseline"/>
                <w:lang w:val="zh-CN"/>
              </w:rPr>
              <w:t>总计</w:t>
            </w: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2"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c>
          <w:tcPr>
            <w:tcW w:w="837" w:type="pct"/>
            <w:vAlign w:val="center"/>
          </w:tcPr>
          <w:p>
            <w:pPr>
              <w:autoSpaceDE w:val="0"/>
              <w:autoSpaceDN w:val="0"/>
              <w:adjustRightInd w:val="0"/>
              <w:spacing w:before="120" w:beforeLines="50"/>
              <w:jc w:val="center"/>
              <w:rPr>
                <w:rFonts w:hint="eastAsia" w:ascii="宋体" w:cs="宋体"/>
                <w:color w:val="auto"/>
                <w:kern w:val="0"/>
                <w:sz w:val="20"/>
                <w:szCs w:val="20"/>
                <w:highlight w:val="none"/>
                <w:vertAlign w:val="baseline"/>
                <w:lang w:val="zh-CN"/>
              </w:rPr>
            </w:pPr>
          </w:p>
        </w:tc>
      </w:tr>
    </w:tbl>
    <w:p>
      <w:pPr>
        <w:autoSpaceDE w:val="0"/>
        <w:autoSpaceDN w:val="0"/>
        <w:adjustRightInd w:val="0"/>
        <w:spacing w:before="120" w:beforeLines="50"/>
        <w:rPr>
          <w:rFonts w:hint="eastAsia" w:ascii="宋体" w:cs="宋体"/>
          <w:b/>
          <w:color w:val="auto"/>
          <w:kern w:val="0"/>
          <w:sz w:val="20"/>
          <w:szCs w:val="20"/>
          <w:highlight w:val="none"/>
          <w:lang w:val="zh-CN"/>
        </w:rPr>
      </w:pPr>
    </w:p>
    <w:p>
      <w:pPr>
        <w:autoSpaceDE w:val="0"/>
        <w:autoSpaceDN w:val="0"/>
        <w:adjustRightInd w:val="0"/>
        <w:spacing w:before="120" w:beforeLines="50"/>
        <w:rPr>
          <w:rFonts w:hint="eastAsia" w:ascii="宋体" w:cs="宋体"/>
          <w:b/>
          <w:color w:val="auto"/>
          <w:kern w:val="0"/>
          <w:sz w:val="20"/>
          <w:szCs w:val="20"/>
          <w:highlight w:val="none"/>
          <w:lang w:val="zh-CN"/>
        </w:rPr>
      </w:pPr>
      <w:r>
        <w:rPr>
          <w:rFonts w:hint="eastAsia" w:ascii="宋体" w:cs="宋体"/>
          <w:b/>
          <w:color w:val="auto"/>
          <w:kern w:val="0"/>
          <w:sz w:val="20"/>
          <w:szCs w:val="20"/>
          <w:highlight w:val="none"/>
          <w:lang w:val="zh-CN"/>
        </w:rPr>
        <w:t>三、本科专业设置情况</w:t>
      </w:r>
    </w:p>
    <w:p>
      <w:pPr>
        <w:autoSpaceDE w:val="0"/>
        <w:autoSpaceDN w:val="0"/>
        <w:adjustRightInd w:val="0"/>
        <w:spacing w:before="120" w:beforeLines="50"/>
        <w:rPr>
          <w:rFonts w:hint="eastAsia" w:ascii="宋体" w:cs="宋体"/>
          <w:b/>
          <w:kern w:val="0"/>
          <w:sz w:val="20"/>
          <w:szCs w:val="20"/>
          <w:lang w:val="zh-CN"/>
        </w:rPr>
      </w:pPr>
      <w:r>
        <w:rPr>
          <w:rFonts w:hint="eastAsia" w:ascii="宋体" w:cs="宋体"/>
          <w:b/>
          <w:kern w:val="0"/>
          <w:sz w:val="20"/>
          <w:szCs w:val="20"/>
          <w:lang w:val="zh-CN"/>
        </w:rPr>
        <w:t>1. 现设本科专业情况（不含蒙古语授课本科专业）</w:t>
      </w:r>
    </w:p>
    <w:tbl>
      <w:tblPr>
        <w:tblStyle w:val="5"/>
        <w:tblW w:w="1320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 w:type="dxa"/>
          <w:bottom w:w="0" w:type="dxa"/>
          <w:right w:w="14" w:type="dxa"/>
        </w:tblCellMar>
      </w:tblPr>
      <w:tblGrid>
        <w:gridCol w:w="310"/>
        <w:gridCol w:w="928"/>
        <w:gridCol w:w="2124"/>
        <w:gridCol w:w="993"/>
        <w:gridCol w:w="993"/>
        <w:gridCol w:w="708"/>
        <w:gridCol w:w="709"/>
        <w:gridCol w:w="709"/>
        <w:gridCol w:w="709"/>
        <w:gridCol w:w="829"/>
        <w:gridCol w:w="732"/>
        <w:gridCol w:w="851"/>
        <w:gridCol w:w="1133"/>
        <w:gridCol w:w="1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454" w:hRule="atLeast"/>
          <w:jc w:val="center"/>
        </w:trPr>
        <w:tc>
          <w:tcPr>
            <w:tcW w:w="310"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序号</w:t>
            </w:r>
          </w:p>
        </w:tc>
        <w:tc>
          <w:tcPr>
            <w:tcW w:w="928"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专业代码</w:t>
            </w:r>
          </w:p>
        </w:tc>
        <w:tc>
          <w:tcPr>
            <w:tcW w:w="2124"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专业名称</w:t>
            </w:r>
          </w:p>
        </w:tc>
        <w:tc>
          <w:tcPr>
            <w:tcW w:w="993"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授予学位</w:t>
            </w:r>
          </w:p>
        </w:tc>
        <w:tc>
          <w:tcPr>
            <w:tcW w:w="993" w:type="dxa"/>
            <w:vMerge w:val="restart"/>
            <w:shd w:val="clear" w:color="000000" w:fill="FFFFFF"/>
            <w:vAlign w:val="center"/>
          </w:tcPr>
          <w:p>
            <w:pPr>
              <w:jc w:val="center"/>
            </w:pPr>
            <w:r>
              <w:rPr>
                <w:rFonts w:hint="eastAsia" w:ascii="宋体" w:cs="宋体"/>
                <w:kern w:val="0"/>
                <w:sz w:val="20"/>
                <w:szCs w:val="20"/>
                <w:lang w:val="zh-CN"/>
              </w:rPr>
              <w:t>首届招生时间</w:t>
            </w:r>
          </w:p>
        </w:tc>
        <w:tc>
          <w:tcPr>
            <w:tcW w:w="3664" w:type="dxa"/>
            <w:gridSpan w:val="5"/>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学生情况</w:t>
            </w:r>
          </w:p>
        </w:tc>
        <w:tc>
          <w:tcPr>
            <w:tcW w:w="4195" w:type="dxa"/>
            <w:gridSpan w:val="4"/>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专任教师情况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396" w:hRule="atLeast"/>
          <w:jc w:val="center"/>
        </w:trPr>
        <w:tc>
          <w:tcPr>
            <w:tcW w:w="310" w:type="dxa"/>
            <w:vMerge w:val="continue"/>
            <w:shd w:val="clear" w:color="000000" w:fill="FFFFFF"/>
            <w:vAlign w:val="center"/>
          </w:tcPr>
          <w:p/>
        </w:tc>
        <w:tc>
          <w:tcPr>
            <w:tcW w:w="928" w:type="dxa"/>
            <w:vMerge w:val="continue"/>
            <w:shd w:val="clear" w:color="000000" w:fill="FFFFFF"/>
            <w:vAlign w:val="center"/>
          </w:tcPr>
          <w:p/>
        </w:tc>
        <w:tc>
          <w:tcPr>
            <w:tcW w:w="2124" w:type="dxa"/>
            <w:vMerge w:val="continue"/>
            <w:shd w:val="clear" w:color="000000" w:fill="FFFFFF"/>
            <w:vAlign w:val="center"/>
          </w:tcPr>
          <w:p/>
        </w:tc>
        <w:tc>
          <w:tcPr>
            <w:tcW w:w="993" w:type="dxa"/>
            <w:vMerge w:val="continue"/>
            <w:shd w:val="clear" w:color="000000" w:fill="FFFFFF"/>
            <w:vAlign w:val="center"/>
          </w:tcPr>
          <w:p/>
        </w:tc>
        <w:tc>
          <w:tcPr>
            <w:tcW w:w="993" w:type="dxa"/>
            <w:vMerge w:val="continue"/>
            <w:shd w:val="clear" w:color="000000" w:fill="FFFFFF"/>
            <w:vAlign w:val="center"/>
          </w:tcPr>
          <w:p/>
        </w:tc>
        <w:tc>
          <w:tcPr>
            <w:tcW w:w="708"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在校生人数</w:t>
            </w:r>
          </w:p>
        </w:tc>
        <w:tc>
          <w:tcPr>
            <w:tcW w:w="2956" w:type="dxa"/>
            <w:gridSpan w:val="4"/>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201</w:t>
            </w:r>
            <w:r>
              <w:rPr>
                <w:rFonts w:hint="eastAsia" w:ascii="宋体" w:cs="宋体"/>
                <w:kern w:val="0"/>
                <w:sz w:val="20"/>
                <w:szCs w:val="20"/>
                <w:lang w:val="en-US" w:eastAsia="zh-CN"/>
              </w:rPr>
              <w:t>9</w:t>
            </w:r>
            <w:r>
              <w:rPr>
                <w:rFonts w:hint="eastAsia" w:ascii="宋体" w:cs="宋体"/>
                <w:kern w:val="0"/>
                <w:sz w:val="20"/>
                <w:szCs w:val="20"/>
                <w:lang w:val="zh-CN" w:eastAsia="zh-CN"/>
              </w:rPr>
              <w:t>-20</w:t>
            </w:r>
            <w:r>
              <w:rPr>
                <w:rFonts w:hint="eastAsia" w:ascii="宋体" w:cs="宋体"/>
                <w:kern w:val="0"/>
                <w:sz w:val="20"/>
                <w:szCs w:val="20"/>
                <w:lang w:val="en-US" w:eastAsia="zh-CN"/>
              </w:rPr>
              <w:t>20学年</w:t>
            </w:r>
            <w:r>
              <w:rPr>
                <w:rFonts w:hint="eastAsia" w:ascii="宋体" w:cs="宋体"/>
                <w:kern w:val="0"/>
                <w:sz w:val="20"/>
                <w:szCs w:val="20"/>
                <w:lang w:val="zh-CN"/>
              </w:rPr>
              <w:t>招生情况</w:t>
            </w:r>
          </w:p>
        </w:tc>
        <w:tc>
          <w:tcPr>
            <w:tcW w:w="732"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专任教师总数</w:t>
            </w:r>
          </w:p>
        </w:tc>
        <w:tc>
          <w:tcPr>
            <w:tcW w:w="851"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教授人数</w:t>
            </w:r>
          </w:p>
        </w:tc>
        <w:tc>
          <w:tcPr>
            <w:tcW w:w="1133"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具有博士学位教师人数</w:t>
            </w:r>
          </w:p>
        </w:tc>
        <w:tc>
          <w:tcPr>
            <w:tcW w:w="1479"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具有连续三个月及以上海外研修经历教师人数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455" w:hRule="atLeast"/>
          <w:jc w:val="center"/>
        </w:trPr>
        <w:tc>
          <w:tcPr>
            <w:tcW w:w="310" w:type="dxa"/>
            <w:vMerge w:val="continue"/>
            <w:shd w:val="clear" w:color="000000" w:fill="FFFFFF"/>
            <w:vAlign w:val="center"/>
          </w:tcPr>
          <w:p/>
        </w:tc>
        <w:tc>
          <w:tcPr>
            <w:tcW w:w="928" w:type="dxa"/>
            <w:vMerge w:val="continue"/>
            <w:shd w:val="clear" w:color="000000" w:fill="FFFFFF"/>
            <w:vAlign w:val="center"/>
          </w:tcPr>
          <w:p/>
        </w:tc>
        <w:tc>
          <w:tcPr>
            <w:tcW w:w="2124" w:type="dxa"/>
            <w:vMerge w:val="continue"/>
            <w:shd w:val="clear" w:color="000000" w:fill="FFFFFF"/>
            <w:vAlign w:val="center"/>
          </w:tcPr>
          <w:p/>
        </w:tc>
        <w:tc>
          <w:tcPr>
            <w:tcW w:w="993" w:type="dxa"/>
            <w:vMerge w:val="continue"/>
            <w:shd w:val="clear" w:color="000000" w:fill="FFFFFF"/>
            <w:vAlign w:val="center"/>
          </w:tcPr>
          <w:p/>
        </w:tc>
        <w:tc>
          <w:tcPr>
            <w:tcW w:w="993" w:type="dxa"/>
            <w:vMerge w:val="continue"/>
            <w:shd w:val="clear" w:color="000000" w:fill="FFFFFF"/>
            <w:vAlign w:val="center"/>
          </w:tcPr>
          <w:p/>
        </w:tc>
        <w:tc>
          <w:tcPr>
            <w:tcW w:w="708" w:type="dxa"/>
            <w:vMerge w:val="continue"/>
            <w:shd w:val="clear" w:color="000000" w:fill="FFFFFF"/>
            <w:vAlign w:val="center"/>
          </w:tc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18"/>
                <w:szCs w:val="18"/>
                <w:lang w:val="zh-CN"/>
              </w:rPr>
              <w:t>区内招生人数</w:t>
            </w:r>
          </w:p>
        </w:tc>
        <w:tc>
          <w:tcPr>
            <w:tcW w:w="709" w:type="dxa"/>
            <w:shd w:val="clear" w:color="000000" w:fill="FFFFFF"/>
            <w:vAlign w:val="center"/>
          </w:tcPr>
          <w:p>
            <w:pPr>
              <w:autoSpaceDE w:val="0"/>
              <w:autoSpaceDN w:val="0"/>
              <w:adjustRightInd w:val="0"/>
              <w:jc w:val="center"/>
              <w:rPr>
                <w:rFonts w:hint="eastAsia" w:ascii="宋体" w:cs="宋体"/>
                <w:kern w:val="0"/>
                <w:sz w:val="16"/>
                <w:szCs w:val="18"/>
                <w:lang w:val="zh-CN"/>
              </w:rPr>
            </w:pPr>
            <w:r>
              <w:rPr>
                <w:rFonts w:hint="eastAsia" w:ascii="宋体" w:cs="宋体"/>
                <w:kern w:val="0"/>
                <w:sz w:val="18"/>
                <w:szCs w:val="18"/>
                <w:lang w:val="zh-CN"/>
              </w:rPr>
              <w:t>区内录取批次</w:t>
            </w: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18"/>
                <w:szCs w:val="18"/>
                <w:lang w:val="zh-CN"/>
              </w:rPr>
              <w:t>区外招生人数</w:t>
            </w:r>
          </w:p>
        </w:tc>
        <w:tc>
          <w:tcPr>
            <w:tcW w:w="829" w:type="dxa"/>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18"/>
                <w:szCs w:val="18"/>
                <w:lang w:val="zh-CN"/>
              </w:rPr>
              <w:t>区外主要录取批次</w:t>
            </w:r>
          </w:p>
        </w:tc>
        <w:tc>
          <w:tcPr>
            <w:tcW w:w="732" w:type="dxa"/>
            <w:vMerge w:val="continue"/>
            <w:shd w:val="clear" w:color="000000" w:fill="FFFFFF"/>
            <w:vAlign w:val="center"/>
          </w:tcPr>
          <w:p/>
        </w:tc>
        <w:tc>
          <w:tcPr>
            <w:tcW w:w="851" w:type="dxa"/>
            <w:vMerge w:val="continue"/>
            <w:shd w:val="clear" w:color="000000" w:fill="FFFFFF"/>
            <w:vAlign w:val="center"/>
          </w:tcPr>
          <w:p/>
        </w:tc>
        <w:tc>
          <w:tcPr>
            <w:tcW w:w="1133" w:type="dxa"/>
            <w:vMerge w:val="continue"/>
            <w:shd w:val="clear" w:color="000000" w:fill="FFFFFF"/>
            <w:vAlign w:val="center"/>
          </w:tcPr>
          <w:p/>
        </w:tc>
        <w:tc>
          <w:tcPr>
            <w:tcW w:w="1479" w:type="dxa"/>
            <w:vMerge w:val="continue"/>
            <w:shd w:val="clear" w:color="000000" w:fill="FFFFFF"/>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310"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28"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2124"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93"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93" w:type="dxa"/>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18"/>
                <w:szCs w:val="18"/>
                <w:lang w:val="zh-CN"/>
              </w:rPr>
              <w:t>例:2010/08</w:t>
            </w:r>
          </w:p>
        </w:tc>
        <w:tc>
          <w:tcPr>
            <w:tcW w:w="708"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82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32"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851"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1133"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1479" w:type="dxa"/>
            <w:shd w:val="clear" w:color="000000" w:fill="FFFFFF"/>
            <w:vAlign w:val="center"/>
          </w:tcPr>
          <w:p>
            <w:pPr>
              <w:autoSpaceDE w:val="0"/>
              <w:autoSpaceDN w:val="0"/>
              <w:adjustRightInd w:val="0"/>
              <w:jc w:val="center"/>
              <w:rPr>
                <w:rFonts w:hint="eastAsia" w:ascii="宋体" w:cs="宋体"/>
                <w:kern w:val="0"/>
                <w:sz w:val="20"/>
                <w:szCs w:val="20"/>
                <w:lang w:val="zh-CN"/>
              </w:rPr>
            </w:pPr>
          </w:p>
        </w:tc>
      </w:tr>
    </w:tbl>
    <w:p>
      <w:pPr>
        <w:autoSpaceDE w:val="0"/>
        <w:autoSpaceDN w:val="0"/>
        <w:adjustRightInd w:val="0"/>
        <w:spacing w:before="240" w:beforeLines="100" w:after="120" w:afterLines="50"/>
        <w:rPr>
          <w:rFonts w:hint="eastAsia" w:ascii="宋体" w:cs="宋体"/>
          <w:b/>
          <w:kern w:val="0"/>
          <w:sz w:val="20"/>
          <w:szCs w:val="20"/>
          <w:lang w:val="zh-CN"/>
        </w:rPr>
      </w:pPr>
      <w:r>
        <w:rPr>
          <w:rFonts w:hint="eastAsia" w:ascii="宋体" w:cs="宋体"/>
          <w:b/>
          <w:kern w:val="0"/>
          <w:sz w:val="20"/>
          <w:szCs w:val="20"/>
          <w:lang w:val="zh-CN"/>
        </w:rPr>
        <w:t>2. 现设蒙古语授课本科专业情况</w:t>
      </w:r>
    </w:p>
    <w:tbl>
      <w:tblPr>
        <w:tblStyle w:val="5"/>
        <w:tblW w:w="132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 w:type="dxa"/>
          <w:bottom w:w="0" w:type="dxa"/>
          <w:right w:w="14" w:type="dxa"/>
        </w:tblCellMar>
      </w:tblPr>
      <w:tblGrid>
        <w:gridCol w:w="310"/>
        <w:gridCol w:w="928"/>
        <w:gridCol w:w="2124"/>
        <w:gridCol w:w="993"/>
        <w:gridCol w:w="993"/>
        <w:gridCol w:w="708"/>
        <w:gridCol w:w="709"/>
        <w:gridCol w:w="710"/>
        <w:gridCol w:w="709"/>
        <w:gridCol w:w="814"/>
        <w:gridCol w:w="747"/>
        <w:gridCol w:w="851"/>
        <w:gridCol w:w="1133"/>
        <w:gridCol w:w="1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454" w:hRule="atLeast"/>
          <w:jc w:val="center"/>
        </w:trPr>
        <w:tc>
          <w:tcPr>
            <w:tcW w:w="310"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序号</w:t>
            </w:r>
          </w:p>
        </w:tc>
        <w:tc>
          <w:tcPr>
            <w:tcW w:w="928"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专业代码</w:t>
            </w:r>
          </w:p>
        </w:tc>
        <w:tc>
          <w:tcPr>
            <w:tcW w:w="2124"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专业名称</w:t>
            </w:r>
          </w:p>
        </w:tc>
        <w:tc>
          <w:tcPr>
            <w:tcW w:w="993"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授予学位</w:t>
            </w:r>
          </w:p>
        </w:tc>
        <w:tc>
          <w:tcPr>
            <w:tcW w:w="993" w:type="dxa"/>
            <w:vMerge w:val="restart"/>
            <w:shd w:val="clear" w:color="000000" w:fill="FFFFFF"/>
            <w:vAlign w:val="center"/>
          </w:tcPr>
          <w:p>
            <w:pPr>
              <w:jc w:val="center"/>
            </w:pPr>
            <w:r>
              <w:rPr>
                <w:rFonts w:hint="eastAsia" w:ascii="宋体" w:cs="宋体"/>
                <w:kern w:val="0"/>
                <w:sz w:val="20"/>
                <w:szCs w:val="20"/>
                <w:lang w:val="zh-CN"/>
              </w:rPr>
              <w:t>首届招生时间</w:t>
            </w:r>
          </w:p>
        </w:tc>
        <w:tc>
          <w:tcPr>
            <w:tcW w:w="3650" w:type="dxa"/>
            <w:gridSpan w:val="5"/>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学生情况</w:t>
            </w:r>
          </w:p>
        </w:tc>
        <w:tc>
          <w:tcPr>
            <w:tcW w:w="4210" w:type="dxa"/>
            <w:gridSpan w:val="4"/>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专任教师情况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396" w:hRule="atLeast"/>
          <w:jc w:val="center"/>
        </w:trPr>
        <w:tc>
          <w:tcPr>
            <w:tcW w:w="310" w:type="dxa"/>
            <w:vMerge w:val="continue"/>
            <w:shd w:val="clear" w:color="000000" w:fill="FFFFFF"/>
            <w:vAlign w:val="center"/>
          </w:tcPr>
          <w:p/>
        </w:tc>
        <w:tc>
          <w:tcPr>
            <w:tcW w:w="928" w:type="dxa"/>
            <w:vMerge w:val="continue"/>
            <w:shd w:val="clear" w:color="000000" w:fill="FFFFFF"/>
            <w:vAlign w:val="center"/>
          </w:tcPr>
          <w:p/>
        </w:tc>
        <w:tc>
          <w:tcPr>
            <w:tcW w:w="2124" w:type="dxa"/>
            <w:vMerge w:val="continue"/>
            <w:shd w:val="clear" w:color="000000" w:fill="FFFFFF"/>
            <w:vAlign w:val="center"/>
          </w:tcPr>
          <w:p/>
        </w:tc>
        <w:tc>
          <w:tcPr>
            <w:tcW w:w="993" w:type="dxa"/>
            <w:vMerge w:val="continue"/>
            <w:shd w:val="clear" w:color="000000" w:fill="FFFFFF"/>
            <w:vAlign w:val="center"/>
          </w:tcPr>
          <w:p/>
        </w:tc>
        <w:tc>
          <w:tcPr>
            <w:tcW w:w="993" w:type="dxa"/>
            <w:vMerge w:val="continue"/>
            <w:shd w:val="clear" w:color="000000" w:fill="FFFFFF"/>
            <w:vAlign w:val="center"/>
          </w:tcPr>
          <w:p/>
        </w:tc>
        <w:tc>
          <w:tcPr>
            <w:tcW w:w="708"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在校生人数</w:t>
            </w:r>
          </w:p>
        </w:tc>
        <w:tc>
          <w:tcPr>
            <w:tcW w:w="2942" w:type="dxa"/>
            <w:gridSpan w:val="4"/>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201</w:t>
            </w:r>
            <w:r>
              <w:rPr>
                <w:rFonts w:hint="eastAsia" w:ascii="宋体" w:cs="宋体"/>
                <w:kern w:val="0"/>
                <w:sz w:val="20"/>
                <w:szCs w:val="20"/>
                <w:lang w:val="en-US" w:eastAsia="zh-CN"/>
              </w:rPr>
              <w:t>9</w:t>
            </w:r>
            <w:r>
              <w:rPr>
                <w:rFonts w:hint="eastAsia" w:ascii="宋体" w:cs="宋体"/>
                <w:kern w:val="0"/>
                <w:sz w:val="20"/>
                <w:szCs w:val="20"/>
                <w:lang w:val="zh-CN" w:eastAsia="zh-CN"/>
              </w:rPr>
              <w:t>-20</w:t>
            </w:r>
            <w:r>
              <w:rPr>
                <w:rFonts w:hint="eastAsia" w:ascii="宋体" w:cs="宋体"/>
                <w:kern w:val="0"/>
                <w:sz w:val="20"/>
                <w:szCs w:val="20"/>
                <w:lang w:val="en-US" w:eastAsia="zh-CN"/>
              </w:rPr>
              <w:t>20学年</w:t>
            </w:r>
            <w:r>
              <w:rPr>
                <w:rFonts w:hint="eastAsia" w:ascii="宋体" w:cs="宋体"/>
                <w:kern w:val="0"/>
                <w:sz w:val="20"/>
                <w:szCs w:val="20"/>
                <w:lang w:val="zh-CN"/>
              </w:rPr>
              <w:t>招生情况</w:t>
            </w:r>
          </w:p>
        </w:tc>
        <w:tc>
          <w:tcPr>
            <w:tcW w:w="747"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专任教师总数</w:t>
            </w:r>
          </w:p>
        </w:tc>
        <w:tc>
          <w:tcPr>
            <w:tcW w:w="851"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教授人数</w:t>
            </w:r>
          </w:p>
        </w:tc>
        <w:tc>
          <w:tcPr>
            <w:tcW w:w="1133"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具有博士学位教师人数</w:t>
            </w:r>
          </w:p>
        </w:tc>
        <w:tc>
          <w:tcPr>
            <w:tcW w:w="1479" w:type="dxa"/>
            <w:vMerge w:val="restart"/>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20"/>
                <w:szCs w:val="20"/>
                <w:lang w:val="zh-CN"/>
              </w:rPr>
              <w:t>具有连续三个月及以上海外研修经历教师人数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393" w:hRule="atLeast"/>
          <w:jc w:val="center"/>
        </w:trPr>
        <w:tc>
          <w:tcPr>
            <w:tcW w:w="310" w:type="dxa"/>
            <w:vMerge w:val="continue"/>
            <w:shd w:val="clear" w:color="000000" w:fill="FFFFFF"/>
            <w:vAlign w:val="center"/>
          </w:tcPr>
          <w:p/>
        </w:tc>
        <w:tc>
          <w:tcPr>
            <w:tcW w:w="928" w:type="dxa"/>
            <w:vMerge w:val="continue"/>
            <w:shd w:val="clear" w:color="000000" w:fill="FFFFFF"/>
            <w:vAlign w:val="center"/>
          </w:tcPr>
          <w:p/>
        </w:tc>
        <w:tc>
          <w:tcPr>
            <w:tcW w:w="2124" w:type="dxa"/>
            <w:vMerge w:val="continue"/>
            <w:shd w:val="clear" w:color="000000" w:fill="FFFFFF"/>
            <w:vAlign w:val="center"/>
          </w:tcPr>
          <w:p/>
        </w:tc>
        <w:tc>
          <w:tcPr>
            <w:tcW w:w="993" w:type="dxa"/>
            <w:vMerge w:val="continue"/>
            <w:shd w:val="clear" w:color="000000" w:fill="FFFFFF"/>
            <w:vAlign w:val="center"/>
          </w:tcPr>
          <w:p/>
        </w:tc>
        <w:tc>
          <w:tcPr>
            <w:tcW w:w="993" w:type="dxa"/>
            <w:vMerge w:val="continue"/>
            <w:shd w:val="clear" w:color="000000" w:fill="FFFFFF"/>
            <w:vAlign w:val="center"/>
          </w:tcPr>
          <w:p/>
        </w:tc>
        <w:tc>
          <w:tcPr>
            <w:tcW w:w="708" w:type="dxa"/>
            <w:vMerge w:val="continue"/>
            <w:shd w:val="clear" w:color="000000" w:fill="FFFFFF"/>
            <w:vAlign w:val="center"/>
          </w:tcPr>
          <w:p/>
        </w:tc>
        <w:tc>
          <w:tcPr>
            <w:tcW w:w="709" w:type="dxa"/>
            <w:shd w:val="clear" w:color="000000" w:fill="FFFFFF"/>
            <w:vAlign w:val="center"/>
          </w:tcPr>
          <w:p>
            <w:pPr>
              <w:autoSpaceDE w:val="0"/>
              <w:autoSpaceDN w:val="0"/>
              <w:adjustRightInd w:val="0"/>
              <w:jc w:val="center"/>
              <w:rPr>
                <w:rFonts w:hint="eastAsia" w:ascii="宋体" w:cs="宋体"/>
                <w:kern w:val="0"/>
                <w:sz w:val="18"/>
                <w:szCs w:val="18"/>
                <w:lang w:val="zh-CN"/>
              </w:rPr>
            </w:pPr>
            <w:r>
              <w:rPr>
                <w:rFonts w:hint="eastAsia" w:ascii="宋体" w:cs="宋体"/>
                <w:kern w:val="0"/>
                <w:sz w:val="18"/>
                <w:szCs w:val="18"/>
                <w:lang w:val="zh-CN"/>
              </w:rPr>
              <w:t>区内招生人数</w:t>
            </w:r>
          </w:p>
        </w:tc>
        <w:tc>
          <w:tcPr>
            <w:tcW w:w="710" w:type="dxa"/>
            <w:shd w:val="clear" w:color="000000" w:fill="FFFFFF"/>
            <w:vAlign w:val="center"/>
          </w:tcPr>
          <w:p>
            <w:pPr>
              <w:autoSpaceDE w:val="0"/>
              <w:autoSpaceDN w:val="0"/>
              <w:adjustRightInd w:val="0"/>
              <w:jc w:val="center"/>
              <w:rPr>
                <w:rFonts w:hint="eastAsia" w:ascii="宋体" w:cs="宋体"/>
                <w:kern w:val="0"/>
                <w:sz w:val="18"/>
                <w:szCs w:val="18"/>
                <w:lang w:val="zh-CN"/>
              </w:rPr>
            </w:pPr>
            <w:r>
              <w:rPr>
                <w:rFonts w:hint="eastAsia" w:ascii="宋体" w:cs="宋体"/>
                <w:kern w:val="0"/>
                <w:sz w:val="18"/>
                <w:szCs w:val="18"/>
                <w:lang w:val="zh-CN"/>
              </w:rPr>
              <w:t>区内录取批次</w:t>
            </w:r>
          </w:p>
        </w:tc>
        <w:tc>
          <w:tcPr>
            <w:tcW w:w="709" w:type="dxa"/>
            <w:shd w:val="clear" w:color="000000" w:fill="FFFFFF"/>
            <w:vAlign w:val="center"/>
          </w:tcPr>
          <w:p>
            <w:pPr>
              <w:autoSpaceDE w:val="0"/>
              <w:autoSpaceDN w:val="0"/>
              <w:adjustRightInd w:val="0"/>
              <w:jc w:val="center"/>
              <w:rPr>
                <w:rFonts w:hint="eastAsia" w:ascii="宋体" w:cs="宋体"/>
                <w:kern w:val="0"/>
                <w:sz w:val="18"/>
                <w:szCs w:val="18"/>
                <w:lang w:val="zh-CN"/>
              </w:rPr>
            </w:pPr>
            <w:r>
              <w:rPr>
                <w:rFonts w:hint="eastAsia" w:ascii="宋体" w:cs="宋体"/>
                <w:kern w:val="0"/>
                <w:sz w:val="18"/>
                <w:szCs w:val="18"/>
                <w:lang w:val="zh-CN"/>
              </w:rPr>
              <w:t>区外招生人数</w:t>
            </w:r>
          </w:p>
        </w:tc>
        <w:tc>
          <w:tcPr>
            <w:tcW w:w="814" w:type="dxa"/>
            <w:shd w:val="clear" w:color="000000" w:fill="FFFFFF"/>
            <w:vAlign w:val="center"/>
          </w:tcPr>
          <w:p>
            <w:pPr>
              <w:autoSpaceDE w:val="0"/>
              <w:autoSpaceDN w:val="0"/>
              <w:adjustRightInd w:val="0"/>
              <w:jc w:val="center"/>
              <w:rPr>
                <w:rFonts w:hint="eastAsia" w:ascii="宋体" w:cs="宋体"/>
                <w:kern w:val="0"/>
                <w:sz w:val="18"/>
                <w:szCs w:val="18"/>
                <w:lang w:val="zh-CN"/>
              </w:rPr>
            </w:pPr>
            <w:r>
              <w:rPr>
                <w:rFonts w:hint="eastAsia" w:ascii="宋体" w:cs="宋体"/>
                <w:kern w:val="0"/>
                <w:sz w:val="18"/>
                <w:szCs w:val="18"/>
                <w:lang w:val="zh-CN"/>
              </w:rPr>
              <w:t>区外主要录取批次</w:t>
            </w:r>
          </w:p>
        </w:tc>
        <w:tc>
          <w:tcPr>
            <w:tcW w:w="747" w:type="dxa"/>
            <w:vMerge w:val="continue"/>
            <w:shd w:val="clear" w:color="000000" w:fill="FFFFFF"/>
            <w:vAlign w:val="center"/>
          </w:tcPr>
          <w:p/>
        </w:tc>
        <w:tc>
          <w:tcPr>
            <w:tcW w:w="851" w:type="dxa"/>
            <w:vMerge w:val="continue"/>
            <w:shd w:val="clear" w:color="000000" w:fill="FFFFFF"/>
            <w:vAlign w:val="center"/>
          </w:tcPr>
          <w:p/>
        </w:tc>
        <w:tc>
          <w:tcPr>
            <w:tcW w:w="1133" w:type="dxa"/>
            <w:vMerge w:val="continue"/>
            <w:shd w:val="clear" w:color="000000" w:fill="FFFFFF"/>
            <w:vAlign w:val="center"/>
          </w:tcPr>
          <w:p/>
        </w:tc>
        <w:tc>
          <w:tcPr>
            <w:tcW w:w="1479" w:type="dxa"/>
            <w:vMerge w:val="continue"/>
            <w:shd w:val="clear" w:color="000000" w:fill="FFFFFF"/>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310"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28"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2124"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93"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993" w:type="dxa"/>
            <w:shd w:val="clear" w:color="000000" w:fill="FFFFFF"/>
            <w:vAlign w:val="center"/>
          </w:tcPr>
          <w:p>
            <w:pPr>
              <w:autoSpaceDE w:val="0"/>
              <w:autoSpaceDN w:val="0"/>
              <w:adjustRightInd w:val="0"/>
              <w:jc w:val="center"/>
              <w:rPr>
                <w:rFonts w:hint="eastAsia" w:ascii="宋体" w:cs="宋体"/>
                <w:kern w:val="0"/>
                <w:sz w:val="20"/>
                <w:szCs w:val="20"/>
                <w:lang w:val="zh-CN"/>
              </w:rPr>
            </w:pPr>
            <w:r>
              <w:rPr>
                <w:rFonts w:hint="eastAsia" w:ascii="宋体" w:cs="宋体"/>
                <w:kern w:val="0"/>
                <w:sz w:val="18"/>
                <w:szCs w:val="18"/>
                <w:lang w:val="zh-CN"/>
              </w:rPr>
              <w:t>例:2010/08</w:t>
            </w:r>
          </w:p>
        </w:tc>
        <w:tc>
          <w:tcPr>
            <w:tcW w:w="708"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10"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09"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814"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747"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851"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1133" w:type="dxa"/>
            <w:shd w:val="clear" w:color="000000" w:fill="FFFFFF"/>
            <w:vAlign w:val="center"/>
          </w:tcPr>
          <w:p>
            <w:pPr>
              <w:autoSpaceDE w:val="0"/>
              <w:autoSpaceDN w:val="0"/>
              <w:adjustRightInd w:val="0"/>
              <w:jc w:val="center"/>
              <w:rPr>
                <w:rFonts w:hint="eastAsia" w:ascii="宋体" w:cs="宋体"/>
                <w:kern w:val="0"/>
                <w:sz w:val="20"/>
                <w:szCs w:val="20"/>
                <w:lang w:val="zh-CN"/>
              </w:rPr>
            </w:pPr>
          </w:p>
        </w:tc>
        <w:tc>
          <w:tcPr>
            <w:tcW w:w="1479" w:type="dxa"/>
            <w:shd w:val="clear" w:color="000000" w:fill="FFFFFF"/>
            <w:vAlign w:val="center"/>
          </w:tcPr>
          <w:p>
            <w:pPr>
              <w:autoSpaceDE w:val="0"/>
              <w:autoSpaceDN w:val="0"/>
              <w:adjustRightInd w:val="0"/>
              <w:jc w:val="center"/>
              <w:rPr>
                <w:rFonts w:hint="eastAsia" w:ascii="宋体" w:cs="宋体"/>
                <w:kern w:val="0"/>
                <w:sz w:val="20"/>
                <w:szCs w:val="20"/>
                <w:lang w:val="zh-CN"/>
              </w:rPr>
            </w:pPr>
          </w:p>
        </w:tc>
      </w:tr>
    </w:tbl>
    <w:p>
      <w:pPr>
        <w:autoSpaceDE w:val="0"/>
        <w:autoSpaceDN w:val="0"/>
        <w:adjustRightInd w:val="0"/>
        <w:spacing w:before="240" w:beforeLines="100" w:after="120" w:afterLines="50"/>
        <w:rPr>
          <w:color w:val="auto"/>
          <w:sz w:val="20"/>
          <w:szCs w:val="20"/>
          <w:highlight w:val="none"/>
        </w:rPr>
      </w:pPr>
      <w:r>
        <w:rPr>
          <w:rFonts w:hint="eastAsia" w:ascii="宋体" w:cs="宋体"/>
          <w:b/>
          <w:color w:val="auto"/>
          <w:kern w:val="0"/>
          <w:sz w:val="20"/>
          <w:szCs w:val="20"/>
          <w:highlight w:val="none"/>
          <w:lang w:val="en-US" w:eastAsia="zh-CN"/>
        </w:rPr>
        <w:t>3</w:t>
      </w:r>
      <w:r>
        <w:rPr>
          <w:rFonts w:hint="eastAsia" w:ascii="宋体" w:cs="宋体"/>
          <w:b/>
          <w:color w:val="auto"/>
          <w:kern w:val="0"/>
          <w:sz w:val="20"/>
          <w:szCs w:val="20"/>
          <w:highlight w:val="none"/>
          <w:lang w:val="zh-CN"/>
        </w:rPr>
        <w:t>. 当年新增本科专业和停招本科专业情况（不含蒙古语授课本科专业）</w:t>
      </w:r>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4" w:type="dxa"/>
          <w:bottom w:w="0" w:type="dxa"/>
          <w:right w:w="14" w:type="dxa"/>
        </w:tblCellMar>
      </w:tblPr>
      <w:tblGrid>
        <w:gridCol w:w="645"/>
        <w:gridCol w:w="1554"/>
        <w:gridCol w:w="2033"/>
        <w:gridCol w:w="957"/>
        <w:gridCol w:w="1235"/>
        <w:gridCol w:w="697"/>
        <w:gridCol w:w="1408"/>
        <w:gridCol w:w="2105"/>
        <w:gridCol w:w="911"/>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1332" w:hRule="atLeast"/>
          <w:jc w:val="center"/>
        </w:trPr>
        <w:tc>
          <w:tcPr>
            <w:tcW w:w="253"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609"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当年新增本科  专业代码</w:t>
            </w:r>
          </w:p>
        </w:tc>
        <w:tc>
          <w:tcPr>
            <w:tcW w:w="797"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当年新增本科专业名称</w:t>
            </w:r>
          </w:p>
        </w:tc>
        <w:tc>
          <w:tcPr>
            <w:tcW w:w="375"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w:t>
            </w:r>
          </w:p>
        </w:tc>
        <w:tc>
          <w:tcPr>
            <w:tcW w:w="484" w:type="pct"/>
            <w:tcBorders>
              <w:right w:val="single" w:color="auto" w:sz="8" w:space="0"/>
            </w:tcBorders>
            <w:shd w:val="clear" w:color="000000" w:fill="FFFFFF"/>
            <w:vAlign w:val="center"/>
          </w:tcPr>
          <w:p>
            <w:pPr>
              <w:jc w:val="center"/>
              <w:rPr>
                <w:b/>
                <w:bCs/>
                <w:color w:val="auto"/>
                <w:highlight w:val="none"/>
              </w:rPr>
            </w:pPr>
            <w:r>
              <w:rPr>
                <w:rFonts w:hint="eastAsia" w:ascii="宋体" w:cs="宋体"/>
                <w:b/>
                <w:bCs/>
                <w:color w:val="auto"/>
                <w:kern w:val="0"/>
                <w:sz w:val="20"/>
                <w:szCs w:val="20"/>
                <w:highlight w:val="none"/>
                <w:lang w:val="zh-CN"/>
              </w:rPr>
              <w:t>首届招生时间</w:t>
            </w:r>
          </w:p>
        </w:tc>
        <w:tc>
          <w:tcPr>
            <w:tcW w:w="273" w:type="pct"/>
            <w:tcBorders>
              <w:lef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552"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当年停招本科 专业代码</w:t>
            </w:r>
          </w:p>
        </w:tc>
        <w:tc>
          <w:tcPr>
            <w:tcW w:w="825"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当年停招本科专业名称</w:t>
            </w:r>
          </w:p>
        </w:tc>
        <w:tc>
          <w:tcPr>
            <w:tcW w:w="357"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w:t>
            </w:r>
          </w:p>
        </w:tc>
        <w:tc>
          <w:tcPr>
            <w:tcW w:w="470" w:type="pct"/>
            <w:shd w:val="clear" w:color="000000" w:fill="FFFFFF"/>
            <w:vAlign w:val="center"/>
          </w:tcPr>
          <w:p>
            <w:pPr>
              <w:jc w:val="center"/>
              <w:rPr>
                <w:b/>
                <w:bCs/>
                <w:color w:val="auto"/>
                <w:highlight w:val="none"/>
              </w:rPr>
            </w:pPr>
            <w:r>
              <w:rPr>
                <w:rFonts w:hint="eastAsia" w:ascii="宋体" w:cs="宋体"/>
                <w:b/>
                <w:bCs/>
                <w:color w:val="auto"/>
                <w:kern w:val="0"/>
                <w:sz w:val="20"/>
                <w:szCs w:val="20"/>
                <w:highlight w:val="none"/>
                <w:lang w:val="zh-CN"/>
              </w:rPr>
              <w:t>首届招生时间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253"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09"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97"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375"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4" w:type="pct"/>
            <w:tcBorders>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18"/>
                <w:szCs w:val="18"/>
                <w:highlight w:val="none"/>
                <w:lang w:val="zh-CN"/>
              </w:rPr>
              <w:t>例:2010/08</w:t>
            </w:r>
          </w:p>
        </w:tc>
        <w:tc>
          <w:tcPr>
            <w:tcW w:w="273" w:type="pct"/>
            <w:tcBorders>
              <w:lef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52"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25"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357"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70"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18"/>
                <w:szCs w:val="18"/>
                <w:highlight w:val="none"/>
                <w:lang w:val="zh-CN"/>
              </w:rPr>
              <w:t>例:2010/08</w:t>
            </w:r>
          </w:p>
        </w:tc>
      </w:tr>
    </w:tbl>
    <w:p>
      <w:pPr>
        <w:autoSpaceDE w:val="0"/>
        <w:autoSpaceDN w:val="0"/>
        <w:adjustRightInd w:val="0"/>
        <w:spacing w:before="240" w:beforeLines="100" w:after="120" w:afterLines="50"/>
        <w:rPr>
          <w:color w:val="auto"/>
          <w:sz w:val="20"/>
          <w:szCs w:val="20"/>
          <w:highlight w:val="none"/>
        </w:rPr>
      </w:pPr>
      <w:r>
        <w:rPr>
          <w:rFonts w:hint="eastAsia" w:ascii="宋体" w:cs="宋体"/>
          <w:b/>
          <w:color w:val="auto"/>
          <w:kern w:val="0"/>
          <w:sz w:val="20"/>
          <w:szCs w:val="20"/>
          <w:highlight w:val="none"/>
          <w:lang w:val="en-US" w:eastAsia="zh-CN"/>
        </w:rPr>
        <w:t>4</w:t>
      </w:r>
      <w:r>
        <w:rPr>
          <w:rFonts w:hint="eastAsia" w:ascii="宋体" w:cs="宋体"/>
          <w:b/>
          <w:color w:val="auto"/>
          <w:kern w:val="0"/>
          <w:sz w:val="20"/>
          <w:szCs w:val="20"/>
          <w:highlight w:val="none"/>
          <w:lang w:val="zh-CN"/>
        </w:rPr>
        <w:t>. 当年新增蒙古语授课本科专业和停招蒙古语授课本科专业情况</w:t>
      </w:r>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4" w:type="dxa"/>
          <w:bottom w:w="0" w:type="dxa"/>
          <w:right w:w="14" w:type="dxa"/>
        </w:tblCellMar>
      </w:tblPr>
      <w:tblGrid>
        <w:gridCol w:w="624"/>
        <w:gridCol w:w="1584"/>
        <w:gridCol w:w="2036"/>
        <w:gridCol w:w="944"/>
        <w:gridCol w:w="1235"/>
        <w:gridCol w:w="696"/>
        <w:gridCol w:w="1434"/>
        <w:gridCol w:w="2081"/>
        <w:gridCol w:w="875"/>
        <w:gridCol w:w="12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1332" w:hRule="atLeast"/>
          <w:jc w:val="center"/>
        </w:trPr>
        <w:tc>
          <w:tcPr>
            <w:tcW w:w="245"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621"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当年新增蒙授本科专业代码</w:t>
            </w:r>
          </w:p>
        </w:tc>
        <w:tc>
          <w:tcPr>
            <w:tcW w:w="798"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当年新增蒙古语授课本科专业名称</w:t>
            </w:r>
          </w:p>
        </w:tc>
        <w:tc>
          <w:tcPr>
            <w:tcW w:w="370"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w:t>
            </w:r>
          </w:p>
        </w:tc>
        <w:tc>
          <w:tcPr>
            <w:tcW w:w="484" w:type="pct"/>
            <w:tcBorders>
              <w:right w:val="single" w:color="auto" w:sz="8" w:space="0"/>
            </w:tcBorders>
            <w:shd w:val="clear" w:color="000000" w:fill="FFFFFF"/>
            <w:vAlign w:val="center"/>
          </w:tcPr>
          <w:p>
            <w:pPr>
              <w:jc w:val="center"/>
              <w:rPr>
                <w:b/>
                <w:bCs/>
                <w:color w:val="auto"/>
                <w:highlight w:val="none"/>
              </w:rPr>
            </w:pPr>
            <w:r>
              <w:rPr>
                <w:rFonts w:hint="eastAsia" w:ascii="宋体" w:cs="宋体"/>
                <w:b/>
                <w:bCs/>
                <w:color w:val="auto"/>
                <w:kern w:val="0"/>
                <w:sz w:val="20"/>
                <w:szCs w:val="20"/>
                <w:highlight w:val="none"/>
                <w:lang w:val="zh-CN"/>
              </w:rPr>
              <w:t>首届招生时间</w:t>
            </w:r>
          </w:p>
        </w:tc>
        <w:tc>
          <w:tcPr>
            <w:tcW w:w="273" w:type="pct"/>
            <w:tcBorders>
              <w:lef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562"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当年停招蒙授 本科专业代码</w:t>
            </w:r>
          </w:p>
        </w:tc>
        <w:tc>
          <w:tcPr>
            <w:tcW w:w="816"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当年停招蒙古语授课本科专业名称</w:t>
            </w:r>
          </w:p>
        </w:tc>
        <w:tc>
          <w:tcPr>
            <w:tcW w:w="343" w:type="pct"/>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w:t>
            </w:r>
          </w:p>
        </w:tc>
        <w:tc>
          <w:tcPr>
            <w:tcW w:w="484" w:type="pct"/>
            <w:shd w:val="clear" w:color="000000" w:fill="FFFFFF"/>
            <w:vAlign w:val="center"/>
          </w:tcPr>
          <w:p>
            <w:pPr>
              <w:jc w:val="center"/>
              <w:rPr>
                <w:b/>
                <w:bCs/>
                <w:color w:val="auto"/>
                <w:highlight w:val="none"/>
              </w:rPr>
            </w:pPr>
            <w:r>
              <w:rPr>
                <w:rFonts w:hint="eastAsia" w:ascii="宋体" w:cs="宋体"/>
                <w:b/>
                <w:bCs/>
                <w:color w:val="auto"/>
                <w:kern w:val="0"/>
                <w:sz w:val="20"/>
                <w:szCs w:val="20"/>
                <w:highlight w:val="none"/>
                <w:lang w:val="zh-CN"/>
              </w:rPr>
              <w:t>首届招生时间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245"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21"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98"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370"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4" w:type="pct"/>
            <w:tcBorders>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18"/>
                <w:szCs w:val="18"/>
                <w:highlight w:val="none"/>
                <w:lang w:val="zh-CN"/>
              </w:rPr>
              <w:t>例:2010/08</w:t>
            </w:r>
          </w:p>
        </w:tc>
        <w:tc>
          <w:tcPr>
            <w:tcW w:w="273" w:type="pct"/>
            <w:tcBorders>
              <w:lef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62"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16"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343"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4" w:type="pct"/>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18"/>
                <w:szCs w:val="18"/>
                <w:highlight w:val="none"/>
                <w:lang w:val="zh-CN"/>
              </w:rPr>
              <w:t>例:2010/08</w:t>
            </w:r>
          </w:p>
        </w:tc>
      </w:tr>
    </w:tbl>
    <w:p>
      <w:pPr>
        <w:rPr>
          <w:color w:val="auto"/>
          <w:sz w:val="20"/>
          <w:szCs w:val="20"/>
          <w:highlight w:val="none"/>
        </w:rPr>
      </w:pPr>
    </w:p>
    <w:p>
      <w:pPr>
        <w:numPr>
          <w:ilvl w:val="0"/>
          <w:numId w:val="2"/>
        </w:numPr>
        <w:autoSpaceDE w:val="0"/>
        <w:autoSpaceDN w:val="0"/>
        <w:adjustRightInd w:val="0"/>
        <w:spacing w:before="240" w:beforeLines="100"/>
        <w:ind w:firstLine="201" w:firstLineChar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生师比</w:t>
      </w:r>
    </w:p>
    <w:p>
      <w:pPr>
        <w:numPr>
          <w:ilvl w:val="0"/>
          <w:numId w:val="0"/>
        </w:numPr>
        <w:autoSpaceDE w:val="0"/>
        <w:autoSpaceDN w:val="0"/>
        <w:adjustRightInd w:val="0"/>
        <w:spacing w:before="240" w:beforeLines="100"/>
        <w:rPr>
          <w:rFonts w:hint="default" w:ascii="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1.生师比整体情况</w:t>
      </w:r>
    </w:p>
    <w:tbl>
      <w:tblPr>
        <w:tblStyle w:val="5"/>
        <w:tblW w:w="4928" w:type="pct"/>
        <w:jc w:val="center"/>
        <w:tblLayout w:type="autofit"/>
        <w:tblCellMar>
          <w:top w:w="0" w:type="dxa"/>
          <w:left w:w="108" w:type="dxa"/>
          <w:bottom w:w="0" w:type="dxa"/>
          <w:right w:w="108" w:type="dxa"/>
        </w:tblCellMar>
      </w:tblPr>
      <w:tblGrid>
        <w:gridCol w:w="837"/>
        <w:gridCol w:w="1441"/>
        <w:gridCol w:w="1074"/>
        <w:gridCol w:w="1074"/>
        <w:gridCol w:w="1056"/>
        <w:gridCol w:w="1056"/>
        <w:gridCol w:w="1056"/>
        <w:gridCol w:w="1102"/>
        <w:gridCol w:w="1056"/>
        <w:gridCol w:w="1069"/>
        <w:gridCol w:w="893"/>
        <w:gridCol w:w="1037"/>
      </w:tblGrid>
      <w:tr>
        <w:tblPrEx>
          <w:tblCellMar>
            <w:top w:w="0" w:type="dxa"/>
            <w:left w:w="108" w:type="dxa"/>
            <w:bottom w:w="0" w:type="dxa"/>
            <w:right w:w="108" w:type="dxa"/>
          </w:tblCellMar>
        </w:tblPrEx>
        <w:trPr>
          <w:trHeight w:val="510" w:hRule="exact"/>
          <w:jc w:val="center"/>
        </w:trPr>
        <w:tc>
          <w:tcPr>
            <w:tcW w:w="328" w:type="pct"/>
            <w:vMerge w:val="restart"/>
            <w:tcBorders>
              <w:top w:val="single" w:color="auto" w:sz="8" w:space="0"/>
              <w:left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565" w:type="pct"/>
            <w:vMerge w:val="restart"/>
            <w:tcBorders>
              <w:top w:val="single" w:color="auto" w:sz="8" w:space="0"/>
              <w:left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折合在校生数</w:t>
            </w:r>
          </w:p>
        </w:tc>
        <w:tc>
          <w:tcPr>
            <w:tcW w:w="2516" w:type="pct"/>
            <w:gridSpan w:val="6"/>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专任教师数</w:t>
            </w:r>
          </w:p>
        </w:tc>
        <w:tc>
          <w:tcPr>
            <w:tcW w:w="833" w:type="pct"/>
            <w:gridSpan w:val="2"/>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外聘教师数</w:t>
            </w:r>
          </w:p>
        </w:tc>
        <w:tc>
          <w:tcPr>
            <w:tcW w:w="350" w:type="pct"/>
            <w:vMerge w:val="restart"/>
            <w:tcBorders>
              <w:top w:val="single" w:color="auto" w:sz="8" w:space="0"/>
              <w:left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教师总数</w:t>
            </w:r>
          </w:p>
        </w:tc>
        <w:tc>
          <w:tcPr>
            <w:tcW w:w="406" w:type="pct"/>
            <w:vMerge w:val="restart"/>
            <w:tcBorders>
              <w:top w:val="single" w:color="auto" w:sz="8" w:space="0"/>
              <w:left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生师比</w:t>
            </w:r>
          </w:p>
        </w:tc>
      </w:tr>
      <w:tr>
        <w:tblPrEx>
          <w:tblCellMar>
            <w:top w:w="0" w:type="dxa"/>
            <w:left w:w="108" w:type="dxa"/>
            <w:bottom w:w="0" w:type="dxa"/>
            <w:right w:w="108" w:type="dxa"/>
          </w:tblCellMar>
        </w:tblPrEx>
        <w:trPr>
          <w:trHeight w:val="644" w:hRule="exact"/>
          <w:jc w:val="center"/>
        </w:trPr>
        <w:tc>
          <w:tcPr>
            <w:tcW w:w="328" w:type="pct"/>
            <w:vMerge w:val="continue"/>
            <w:tcBorders>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65" w:type="pct"/>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21"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总计</w:t>
            </w:r>
          </w:p>
        </w:tc>
        <w:tc>
          <w:tcPr>
            <w:tcW w:w="421"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具有硕士学位</w:t>
            </w:r>
          </w:p>
        </w:tc>
        <w:tc>
          <w:tcPr>
            <w:tcW w:w="414"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具有博士学位</w:t>
            </w:r>
          </w:p>
        </w:tc>
        <w:tc>
          <w:tcPr>
            <w:tcW w:w="414"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双师型</w:t>
            </w:r>
          </w:p>
        </w:tc>
        <w:tc>
          <w:tcPr>
            <w:tcW w:w="414"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具有工程背景</w:t>
            </w:r>
          </w:p>
        </w:tc>
        <w:tc>
          <w:tcPr>
            <w:tcW w:w="432"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具有行业背景</w:t>
            </w:r>
          </w:p>
        </w:tc>
        <w:tc>
          <w:tcPr>
            <w:tcW w:w="414"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总计</w:t>
            </w:r>
          </w:p>
        </w:tc>
        <w:tc>
          <w:tcPr>
            <w:tcW w:w="419"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其中：境外教师</w:t>
            </w:r>
          </w:p>
        </w:tc>
        <w:tc>
          <w:tcPr>
            <w:tcW w:w="350" w:type="pct"/>
            <w:vMerge w:val="continue"/>
            <w:tcBorders>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06" w:type="pct"/>
            <w:vMerge w:val="continue"/>
            <w:tcBorders>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r>
        <w:tblPrEx>
          <w:tblCellMar>
            <w:top w:w="0" w:type="dxa"/>
            <w:left w:w="108" w:type="dxa"/>
            <w:bottom w:w="0" w:type="dxa"/>
            <w:right w:w="108" w:type="dxa"/>
          </w:tblCellMar>
        </w:tblPrEx>
        <w:trPr>
          <w:trHeight w:val="454" w:hRule="exact"/>
          <w:jc w:val="center"/>
        </w:trPr>
        <w:tc>
          <w:tcPr>
            <w:tcW w:w="328"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6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2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2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1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1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1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32"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1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19"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350"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06"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rPr>
          <w:rFonts w:hint="eastAsia" w:ascii="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2.各专业生师比情况</w:t>
      </w:r>
    </w:p>
    <w:tbl>
      <w:tblPr>
        <w:tblStyle w:val="5"/>
        <w:tblW w:w="4902" w:type="pct"/>
        <w:jc w:val="center"/>
        <w:tblLayout w:type="autofit"/>
        <w:tblCellMar>
          <w:top w:w="0" w:type="dxa"/>
          <w:left w:w="108" w:type="dxa"/>
          <w:bottom w:w="0" w:type="dxa"/>
          <w:right w:w="108" w:type="dxa"/>
        </w:tblCellMar>
      </w:tblPr>
      <w:tblGrid>
        <w:gridCol w:w="1048"/>
        <w:gridCol w:w="2092"/>
        <w:gridCol w:w="2092"/>
        <w:gridCol w:w="1554"/>
        <w:gridCol w:w="1554"/>
        <w:gridCol w:w="1529"/>
        <w:gridCol w:w="1529"/>
        <w:gridCol w:w="1285"/>
      </w:tblGrid>
      <w:tr>
        <w:tblPrEx>
          <w:tblCellMar>
            <w:top w:w="0" w:type="dxa"/>
            <w:left w:w="108" w:type="dxa"/>
            <w:bottom w:w="0" w:type="dxa"/>
            <w:right w:w="108" w:type="dxa"/>
          </w:tblCellMar>
        </w:tblPrEx>
        <w:trPr>
          <w:trHeight w:val="510" w:hRule="exact"/>
          <w:jc w:val="center"/>
        </w:trPr>
        <w:tc>
          <w:tcPr>
            <w:tcW w:w="413"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序 号</w:t>
            </w:r>
          </w:p>
        </w:tc>
        <w:tc>
          <w:tcPr>
            <w:tcW w:w="82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82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专业名称</w:t>
            </w:r>
          </w:p>
        </w:tc>
        <w:tc>
          <w:tcPr>
            <w:tcW w:w="612"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分专业在校本科生数</w:t>
            </w:r>
          </w:p>
        </w:tc>
        <w:tc>
          <w:tcPr>
            <w:tcW w:w="612"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专任教师数</w:t>
            </w:r>
          </w:p>
        </w:tc>
        <w:tc>
          <w:tcPr>
            <w:tcW w:w="602"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外聘教师数</w:t>
            </w:r>
          </w:p>
        </w:tc>
        <w:tc>
          <w:tcPr>
            <w:tcW w:w="602"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分专业教师总数</w:t>
            </w:r>
          </w:p>
        </w:tc>
        <w:tc>
          <w:tcPr>
            <w:tcW w:w="506"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专业生师比</w:t>
            </w:r>
          </w:p>
        </w:tc>
      </w:tr>
      <w:tr>
        <w:tblPrEx>
          <w:tblCellMar>
            <w:top w:w="0" w:type="dxa"/>
            <w:left w:w="108" w:type="dxa"/>
            <w:bottom w:w="0" w:type="dxa"/>
            <w:right w:w="108" w:type="dxa"/>
          </w:tblCellMar>
        </w:tblPrEx>
        <w:trPr>
          <w:trHeight w:val="454" w:hRule="exact"/>
          <w:jc w:val="center"/>
        </w:trPr>
        <w:tc>
          <w:tcPr>
            <w:tcW w:w="413"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2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2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12"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12"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02"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02"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6"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五、教学科研仪器设备值</w:t>
      </w:r>
    </w:p>
    <w:tbl>
      <w:tblPr>
        <w:tblStyle w:val="5"/>
        <w:tblW w:w="4899" w:type="pct"/>
        <w:jc w:val="center"/>
        <w:tblLayout w:type="autofit"/>
        <w:tblCellMar>
          <w:top w:w="0" w:type="dxa"/>
          <w:left w:w="108" w:type="dxa"/>
          <w:bottom w:w="0" w:type="dxa"/>
          <w:right w:w="108" w:type="dxa"/>
        </w:tblCellMar>
      </w:tblPr>
      <w:tblGrid>
        <w:gridCol w:w="1636"/>
        <w:gridCol w:w="2016"/>
        <w:gridCol w:w="2719"/>
        <w:gridCol w:w="3071"/>
        <w:gridCol w:w="3234"/>
      </w:tblGrid>
      <w:tr>
        <w:tblPrEx>
          <w:tblCellMar>
            <w:top w:w="0" w:type="dxa"/>
            <w:left w:w="108" w:type="dxa"/>
            <w:bottom w:w="0" w:type="dxa"/>
            <w:right w:w="108" w:type="dxa"/>
          </w:tblCellMar>
        </w:tblPrEx>
        <w:trPr>
          <w:trHeight w:val="624" w:hRule="exact"/>
          <w:jc w:val="center"/>
        </w:trPr>
        <w:tc>
          <w:tcPr>
            <w:tcW w:w="645"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79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Calibri"/>
                <w:b/>
                <w:bCs/>
                <w:color w:val="auto"/>
                <w:kern w:val="0"/>
                <w:sz w:val="20"/>
                <w:szCs w:val="20"/>
                <w:highlight w:val="none"/>
              </w:rPr>
            </w:pPr>
            <w:r>
              <w:rPr>
                <w:rFonts w:hint="eastAsia" w:ascii="宋体" w:cs="宋体"/>
                <w:b/>
                <w:bCs/>
                <w:color w:val="auto"/>
                <w:kern w:val="0"/>
                <w:sz w:val="20"/>
                <w:szCs w:val="20"/>
                <w:highlight w:val="none"/>
                <w:lang w:val="zh-CN"/>
              </w:rPr>
              <w:t>折合</w:t>
            </w:r>
          </w:p>
          <w:p>
            <w:pPr>
              <w:autoSpaceDE w:val="0"/>
              <w:autoSpaceDN w:val="0"/>
              <w:adjustRightInd w:val="0"/>
              <w:ind w:left="210" w:hanging="21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在校生数</w:t>
            </w:r>
          </w:p>
        </w:tc>
        <w:tc>
          <w:tcPr>
            <w:tcW w:w="1072"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当年新增教学科研仪器设备值（万元）</w:t>
            </w:r>
          </w:p>
        </w:tc>
        <w:tc>
          <w:tcPr>
            <w:tcW w:w="121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Calibri"/>
                <w:b/>
                <w:bCs/>
                <w:color w:val="auto"/>
                <w:kern w:val="0"/>
                <w:sz w:val="20"/>
                <w:szCs w:val="20"/>
                <w:highlight w:val="none"/>
              </w:rPr>
            </w:pPr>
            <w:r>
              <w:rPr>
                <w:rFonts w:hint="eastAsia" w:ascii="宋体" w:cs="宋体"/>
                <w:b/>
                <w:bCs/>
                <w:color w:val="auto"/>
                <w:kern w:val="0"/>
                <w:sz w:val="20"/>
                <w:szCs w:val="20"/>
                <w:highlight w:val="none"/>
                <w:lang w:val="zh-CN"/>
              </w:rPr>
              <w:t>教学科研仪器</w:t>
            </w:r>
          </w:p>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设备总值（万元）</w:t>
            </w:r>
          </w:p>
        </w:tc>
        <w:tc>
          <w:tcPr>
            <w:tcW w:w="1275"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cs="Calibri"/>
                <w:b/>
                <w:bCs/>
                <w:color w:val="auto"/>
                <w:kern w:val="0"/>
                <w:sz w:val="20"/>
                <w:szCs w:val="20"/>
                <w:highlight w:val="none"/>
              </w:rPr>
            </w:pPr>
            <w:r>
              <w:rPr>
                <w:rFonts w:hint="eastAsia" w:ascii="宋体" w:cs="宋体"/>
                <w:b/>
                <w:bCs/>
                <w:color w:val="auto"/>
                <w:kern w:val="0"/>
                <w:sz w:val="20"/>
                <w:szCs w:val="20"/>
                <w:highlight w:val="none"/>
                <w:lang w:val="zh-CN"/>
              </w:rPr>
              <w:t>生均教学科研仪器</w:t>
            </w:r>
          </w:p>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设备值（元）</w:t>
            </w:r>
          </w:p>
        </w:tc>
      </w:tr>
      <w:tr>
        <w:tblPrEx>
          <w:tblCellMar>
            <w:top w:w="0" w:type="dxa"/>
            <w:left w:w="108" w:type="dxa"/>
            <w:bottom w:w="0" w:type="dxa"/>
            <w:right w:w="108" w:type="dxa"/>
          </w:tblCellMar>
        </w:tblPrEx>
        <w:trPr>
          <w:trHeight w:val="454" w:hRule="exact"/>
          <w:jc w:val="center"/>
        </w:trPr>
        <w:tc>
          <w:tcPr>
            <w:tcW w:w="645"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9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072"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21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275"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六、图书</w:t>
      </w:r>
    </w:p>
    <w:tbl>
      <w:tblPr>
        <w:tblStyle w:val="5"/>
        <w:tblW w:w="4892" w:type="pct"/>
        <w:jc w:val="center"/>
        <w:tblLayout w:type="autofit"/>
        <w:tblCellMar>
          <w:top w:w="0" w:type="dxa"/>
          <w:left w:w="108" w:type="dxa"/>
          <w:bottom w:w="0" w:type="dxa"/>
          <w:right w:w="108" w:type="dxa"/>
        </w:tblCellMar>
      </w:tblPr>
      <w:tblGrid>
        <w:gridCol w:w="955"/>
        <w:gridCol w:w="1275"/>
        <w:gridCol w:w="1457"/>
        <w:gridCol w:w="1513"/>
        <w:gridCol w:w="1363"/>
        <w:gridCol w:w="1602"/>
        <w:gridCol w:w="1594"/>
        <w:gridCol w:w="1655"/>
        <w:gridCol w:w="1244"/>
      </w:tblGrid>
      <w:tr>
        <w:tblPrEx>
          <w:tblCellMar>
            <w:top w:w="0" w:type="dxa"/>
            <w:left w:w="108" w:type="dxa"/>
            <w:bottom w:w="0" w:type="dxa"/>
            <w:right w:w="108" w:type="dxa"/>
          </w:tblCellMar>
        </w:tblPrEx>
        <w:trPr>
          <w:trHeight w:val="877" w:hRule="exact"/>
          <w:jc w:val="center"/>
        </w:trPr>
        <w:tc>
          <w:tcPr>
            <w:tcW w:w="377"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年度</w:t>
            </w:r>
          </w:p>
        </w:tc>
        <w:tc>
          <w:tcPr>
            <w:tcW w:w="50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Calibri"/>
                <w:b/>
                <w:bCs/>
                <w:color w:val="auto"/>
                <w:kern w:val="0"/>
                <w:sz w:val="20"/>
                <w:szCs w:val="20"/>
                <w:highlight w:val="none"/>
              </w:rPr>
            </w:pPr>
            <w:r>
              <w:rPr>
                <w:rFonts w:hint="eastAsia" w:ascii="宋体" w:cs="宋体"/>
                <w:b/>
                <w:bCs/>
                <w:color w:val="auto"/>
                <w:kern w:val="0"/>
                <w:sz w:val="20"/>
                <w:szCs w:val="20"/>
                <w:highlight w:val="none"/>
                <w:lang w:val="zh-CN"/>
              </w:rPr>
              <w:t>折合</w:t>
            </w:r>
          </w:p>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在校生数</w:t>
            </w:r>
          </w:p>
        </w:tc>
        <w:tc>
          <w:tcPr>
            <w:tcW w:w="57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新增纸质图书   （册）</w:t>
            </w:r>
          </w:p>
        </w:tc>
        <w:tc>
          <w:tcPr>
            <w:tcW w:w="59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馆藏纸质图书    (万册)</w:t>
            </w:r>
          </w:p>
        </w:tc>
        <w:tc>
          <w:tcPr>
            <w:tcW w:w="53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生均纸质图书（册）</w:t>
            </w:r>
          </w:p>
        </w:tc>
        <w:tc>
          <w:tcPr>
            <w:tcW w:w="632"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电子图书（册）</w:t>
            </w:r>
          </w:p>
        </w:tc>
        <w:tc>
          <w:tcPr>
            <w:tcW w:w="629"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电子期刊（册）</w:t>
            </w:r>
          </w:p>
        </w:tc>
        <w:tc>
          <w:tcPr>
            <w:tcW w:w="65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电子图书、期刊合计（册）</w:t>
            </w:r>
          </w:p>
        </w:tc>
        <w:tc>
          <w:tcPr>
            <w:tcW w:w="491"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spacing w:val="-16"/>
                <w:kern w:val="0"/>
                <w:sz w:val="20"/>
                <w:szCs w:val="20"/>
                <w:highlight w:val="none"/>
                <w:lang w:val="zh-CN"/>
              </w:rPr>
              <w:t>生均电子图书、期刊（</w:t>
            </w:r>
            <w:r>
              <w:rPr>
                <w:rFonts w:hint="eastAsia" w:ascii="宋体" w:cs="宋体"/>
                <w:b/>
                <w:bCs/>
                <w:color w:val="auto"/>
                <w:kern w:val="0"/>
                <w:sz w:val="20"/>
                <w:szCs w:val="20"/>
                <w:highlight w:val="none"/>
                <w:lang w:val="zh-CN"/>
              </w:rPr>
              <w:t>册</w:t>
            </w:r>
            <w:r>
              <w:rPr>
                <w:rFonts w:hint="eastAsia" w:ascii="宋体" w:cs="宋体"/>
                <w:b/>
                <w:bCs/>
                <w:color w:val="auto"/>
                <w:spacing w:val="-16"/>
                <w:kern w:val="0"/>
                <w:sz w:val="20"/>
                <w:szCs w:val="20"/>
                <w:highlight w:val="none"/>
                <w:lang w:val="zh-CN"/>
              </w:rPr>
              <w:t>）</w:t>
            </w:r>
          </w:p>
        </w:tc>
      </w:tr>
      <w:tr>
        <w:tblPrEx>
          <w:tblCellMar>
            <w:top w:w="0" w:type="dxa"/>
            <w:left w:w="108" w:type="dxa"/>
            <w:bottom w:w="0" w:type="dxa"/>
            <w:right w:w="108" w:type="dxa"/>
          </w:tblCellMar>
        </w:tblPrEx>
        <w:trPr>
          <w:trHeight w:val="454" w:hRule="exact"/>
          <w:jc w:val="center"/>
        </w:trPr>
        <w:tc>
          <w:tcPr>
            <w:tcW w:w="377"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57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59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53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632"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62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65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c>
          <w:tcPr>
            <w:tcW w:w="491"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ind w:hanging="19"/>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七、教学行政用房</w:t>
      </w:r>
    </w:p>
    <w:tbl>
      <w:tblPr>
        <w:tblStyle w:val="5"/>
        <w:tblW w:w="4889" w:type="pct"/>
        <w:jc w:val="center"/>
        <w:tblLayout w:type="autofit"/>
        <w:tblCellMar>
          <w:top w:w="0" w:type="dxa"/>
          <w:left w:w="108" w:type="dxa"/>
          <w:bottom w:w="0" w:type="dxa"/>
          <w:right w:w="108" w:type="dxa"/>
        </w:tblCellMar>
      </w:tblPr>
      <w:tblGrid>
        <w:gridCol w:w="874"/>
        <w:gridCol w:w="1482"/>
        <w:gridCol w:w="1775"/>
        <w:gridCol w:w="1775"/>
        <w:gridCol w:w="1775"/>
        <w:gridCol w:w="1656"/>
        <w:gridCol w:w="1656"/>
        <w:gridCol w:w="1657"/>
      </w:tblGrid>
      <w:tr>
        <w:tblPrEx>
          <w:tblCellMar>
            <w:top w:w="0" w:type="dxa"/>
            <w:left w:w="108" w:type="dxa"/>
            <w:bottom w:w="0" w:type="dxa"/>
            <w:right w:w="108" w:type="dxa"/>
          </w:tblCellMar>
        </w:tblPrEx>
        <w:trPr>
          <w:trHeight w:val="1021" w:hRule="exact"/>
          <w:jc w:val="center"/>
        </w:trPr>
        <w:tc>
          <w:tcPr>
            <w:tcW w:w="345"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58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全日制在校生</w:t>
            </w:r>
          </w:p>
        </w:tc>
        <w:tc>
          <w:tcPr>
            <w:tcW w:w="70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教学行政用房面积（万平方米）</w:t>
            </w:r>
          </w:p>
        </w:tc>
        <w:tc>
          <w:tcPr>
            <w:tcW w:w="70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生均教学行政用房面积（平方米）</w:t>
            </w:r>
          </w:p>
        </w:tc>
        <w:tc>
          <w:tcPr>
            <w:tcW w:w="70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实验室面积</w:t>
            </w:r>
          </w:p>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（万平方米）</w:t>
            </w:r>
          </w:p>
        </w:tc>
        <w:tc>
          <w:tcPr>
            <w:tcW w:w="654"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生均实验室面积</w:t>
            </w:r>
          </w:p>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（平方米）</w:t>
            </w:r>
          </w:p>
        </w:tc>
        <w:tc>
          <w:tcPr>
            <w:tcW w:w="654"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实习场所面积（平方米）</w:t>
            </w:r>
          </w:p>
        </w:tc>
        <w:tc>
          <w:tcPr>
            <w:tcW w:w="654"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生均实习场所面积（平方米）</w:t>
            </w:r>
          </w:p>
        </w:tc>
      </w:tr>
      <w:tr>
        <w:tblPrEx>
          <w:tblCellMar>
            <w:top w:w="0" w:type="dxa"/>
            <w:left w:w="108" w:type="dxa"/>
            <w:bottom w:w="0" w:type="dxa"/>
            <w:right w:w="108" w:type="dxa"/>
          </w:tblCellMar>
        </w:tblPrEx>
        <w:trPr>
          <w:trHeight w:val="454" w:hRule="exact"/>
          <w:jc w:val="center"/>
        </w:trPr>
        <w:tc>
          <w:tcPr>
            <w:tcW w:w="345"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8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0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0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0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5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5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54"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八、本科教学日常运行支出</w:t>
      </w:r>
    </w:p>
    <w:tbl>
      <w:tblPr>
        <w:tblStyle w:val="5"/>
        <w:tblW w:w="4870" w:type="pct"/>
        <w:jc w:val="center"/>
        <w:tblLayout w:type="autofit"/>
        <w:tblCellMar>
          <w:top w:w="0" w:type="dxa"/>
          <w:left w:w="108" w:type="dxa"/>
          <w:bottom w:w="0" w:type="dxa"/>
          <w:right w:w="108" w:type="dxa"/>
        </w:tblCellMar>
      </w:tblPr>
      <w:tblGrid>
        <w:gridCol w:w="1830"/>
        <w:gridCol w:w="2307"/>
        <w:gridCol w:w="4397"/>
        <w:gridCol w:w="4067"/>
      </w:tblGrid>
      <w:tr>
        <w:tblPrEx>
          <w:tblCellMar>
            <w:top w:w="0" w:type="dxa"/>
            <w:left w:w="108" w:type="dxa"/>
            <w:bottom w:w="0" w:type="dxa"/>
            <w:right w:w="108" w:type="dxa"/>
          </w:tblCellMar>
        </w:tblPrEx>
        <w:trPr>
          <w:trHeight w:val="454" w:hRule="exact"/>
          <w:jc w:val="center"/>
        </w:trPr>
        <w:tc>
          <w:tcPr>
            <w:tcW w:w="726"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年  度</w:t>
            </w:r>
          </w:p>
        </w:tc>
        <w:tc>
          <w:tcPr>
            <w:tcW w:w="91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本科生数</w:t>
            </w:r>
          </w:p>
        </w:tc>
        <w:tc>
          <w:tcPr>
            <w:tcW w:w="174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教学日常运行支出（万元）</w:t>
            </w:r>
          </w:p>
        </w:tc>
        <w:tc>
          <w:tcPr>
            <w:tcW w:w="1613"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生均本科教学日常运行支出(元)</w:t>
            </w:r>
          </w:p>
        </w:tc>
      </w:tr>
      <w:tr>
        <w:tblPrEx>
          <w:tblCellMar>
            <w:top w:w="0" w:type="dxa"/>
            <w:left w:w="108" w:type="dxa"/>
            <w:bottom w:w="0" w:type="dxa"/>
            <w:right w:w="108" w:type="dxa"/>
          </w:tblCellMar>
        </w:tblPrEx>
        <w:trPr>
          <w:trHeight w:val="454" w:hRule="exact"/>
          <w:jc w:val="center"/>
        </w:trPr>
        <w:tc>
          <w:tcPr>
            <w:tcW w:w="726"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91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74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613"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九、本科专项教学经费</w:t>
      </w:r>
    </w:p>
    <w:tbl>
      <w:tblPr>
        <w:tblStyle w:val="5"/>
        <w:tblW w:w="4959" w:type="pct"/>
        <w:jc w:val="center"/>
        <w:tblLayout w:type="autofit"/>
        <w:tblCellMar>
          <w:top w:w="0" w:type="dxa"/>
          <w:left w:w="0" w:type="dxa"/>
          <w:bottom w:w="0" w:type="dxa"/>
          <w:right w:w="0" w:type="dxa"/>
        </w:tblCellMar>
      </w:tblPr>
      <w:tblGrid>
        <w:gridCol w:w="1861"/>
        <w:gridCol w:w="1992"/>
        <w:gridCol w:w="4104"/>
        <w:gridCol w:w="2531"/>
        <w:gridCol w:w="2149"/>
      </w:tblGrid>
      <w:tr>
        <w:tblPrEx>
          <w:tblCellMar>
            <w:top w:w="0" w:type="dxa"/>
            <w:left w:w="0" w:type="dxa"/>
            <w:bottom w:w="0" w:type="dxa"/>
            <w:right w:w="0" w:type="dxa"/>
          </w:tblCellMar>
        </w:tblPrEx>
        <w:trPr>
          <w:trHeight w:val="454" w:hRule="exact"/>
          <w:jc w:val="center"/>
        </w:trPr>
        <w:tc>
          <w:tcPr>
            <w:tcW w:w="736"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eastAsia="宋体" w:cs="宋体"/>
                <w:b/>
                <w:bCs/>
                <w:color w:val="auto"/>
                <w:kern w:val="0"/>
                <w:sz w:val="20"/>
                <w:szCs w:val="20"/>
                <w:highlight w:val="none"/>
                <w:lang w:val="en-US" w:eastAsia="zh-CN"/>
              </w:rPr>
            </w:pPr>
            <w:r>
              <w:rPr>
                <w:rFonts w:hint="eastAsia" w:ascii="宋体" w:cs="宋体"/>
                <w:b/>
                <w:bCs/>
                <w:color w:val="auto"/>
                <w:kern w:val="0"/>
                <w:sz w:val="20"/>
                <w:szCs w:val="20"/>
                <w:highlight w:val="none"/>
                <w:lang w:val="en-US" w:eastAsia="zh-CN"/>
              </w:rPr>
              <w:t>年  度</w:t>
            </w:r>
          </w:p>
        </w:tc>
        <w:tc>
          <w:tcPr>
            <w:tcW w:w="78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  号</w:t>
            </w:r>
          </w:p>
        </w:tc>
        <w:tc>
          <w:tcPr>
            <w:tcW w:w="162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项  目</w:t>
            </w:r>
          </w:p>
        </w:tc>
        <w:tc>
          <w:tcPr>
            <w:tcW w:w="100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经费（万元）</w:t>
            </w:r>
          </w:p>
        </w:tc>
        <w:tc>
          <w:tcPr>
            <w:tcW w:w="850"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备  注</w:t>
            </w:r>
          </w:p>
        </w:tc>
      </w:tr>
      <w:tr>
        <w:tblPrEx>
          <w:tblCellMar>
            <w:top w:w="0" w:type="dxa"/>
            <w:left w:w="0" w:type="dxa"/>
            <w:bottom w:w="0" w:type="dxa"/>
            <w:right w:w="0" w:type="dxa"/>
          </w:tblCellMar>
        </w:tblPrEx>
        <w:trPr>
          <w:trHeight w:val="454" w:hRule="exact"/>
          <w:jc w:val="center"/>
        </w:trPr>
        <w:tc>
          <w:tcPr>
            <w:tcW w:w="736" w:type="pct"/>
            <w:vMerge w:val="restart"/>
            <w:tcBorders>
              <w:top w:val="single" w:color="000000" w:sz="2"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8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1</w:t>
            </w:r>
          </w:p>
        </w:tc>
        <w:tc>
          <w:tcPr>
            <w:tcW w:w="16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1001"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850"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r>
        <w:tblPrEx>
          <w:tblCellMar>
            <w:top w:w="0" w:type="dxa"/>
            <w:left w:w="0" w:type="dxa"/>
            <w:bottom w:w="0" w:type="dxa"/>
            <w:right w:w="0" w:type="dxa"/>
          </w:tblCellMar>
        </w:tblPrEx>
        <w:trPr>
          <w:trHeight w:val="454" w:hRule="exact"/>
          <w:jc w:val="center"/>
        </w:trPr>
        <w:tc>
          <w:tcPr>
            <w:tcW w:w="736" w:type="pct"/>
            <w:vMerge w:val="continue"/>
            <w:tcBorders>
              <w:top w:val="single" w:color="000000" w:sz="2" w:space="0"/>
              <w:left w:val="single" w:color="auto" w:sz="8" w:space="0"/>
              <w:bottom w:val="single" w:color="000000" w:sz="2" w:space="0"/>
              <w:right w:val="single" w:color="000000" w:sz="2" w:space="0"/>
            </w:tcBorders>
            <w:shd w:val="clear" w:color="000000" w:fill="FFFFFF"/>
            <w:vAlign w:val="center"/>
          </w:tcPr>
          <w:p>
            <w:pPr>
              <w:rPr>
                <w:color w:val="auto"/>
                <w:highlight w:val="none"/>
              </w:rPr>
            </w:pPr>
          </w:p>
        </w:tc>
        <w:tc>
          <w:tcPr>
            <w:tcW w:w="78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4"/>
              <w:jc w:val="center"/>
              <w:rPr>
                <w:rFonts w:hint="eastAsia" w:ascii="宋体" w:cs="宋体"/>
                <w:color w:val="auto"/>
                <w:kern w:val="0"/>
                <w:sz w:val="20"/>
                <w:szCs w:val="20"/>
                <w:highlight w:val="none"/>
                <w:lang w:val="zh-CN"/>
              </w:rPr>
            </w:pPr>
          </w:p>
        </w:tc>
        <w:tc>
          <w:tcPr>
            <w:tcW w:w="16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1001"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850" w:type="pct"/>
            <w:tcBorders>
              <w:top w:val="single" w:color="000000" w:sz="2" w:space="0"/>
              <w:left w:val="single" w:color="auto" w:sz="4"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r>
        <w:tblPrEx>
          <w:tblCellMar>
            <w:top w:w="0" w:type="dxa"/>
            <w:left w:w="0" w:type="dxa"/>
            <w:bottom w:w="0" w:type="dxa"/>
            <w:right w:w="0" w:type="dxa"/>
          </w:tblCellMar>
        </w:tblPrEx>
        <w:trPr>
          <w:trHeight w:val="454" w:hRule="exact"/>
          <w:jc w:val="center"/>
        </w:trPr>
        <w:tc>
          <w:tcPr>
            <w:tcW w:w="736" w:type="pct"/>
            <w:vMerge w:val="continue"/>
            <w:tcBorders>
              <w:top w:val="single" w:color="000000" w:sz="2" w:space="0"/>
              <w:left w:val="single" w:color="auto" w:sz="8" w:space="0"/>
              <w:bottom w:val="single" w:color="auto" w:sz="8" w:space="0"/>
              <w:right w:val="single" w:color="000000" w:sz="2" w:space="0"/>
            </w:tcBorders>
            <w:shd w:val="clear" w:color="000000" w:fill="FFFFFF"/>
            <w:vAlign w:val="center"/>
          </w:tcPr>
          <w:p>
            <w:pPr>
              <w:rPr>
                <w:color w:val="auto"/>
                <w:highlight w:val="none"/>
              </w:rPr>
            </w:pPr>
          </w:p>
        </w:tc>
        <w:tc>
          <w:tcPr>
            <w:tcW w:w="78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left="9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合计（万元）</w:t>
            </w:r>
          </w:p>
        </w:tc>
        <w:tc>
          <w:tcPr>
            <w:tcW w:w="2624" w:type="pct"/>
            <w:gridSpan w:val="2"/>
            <w:tcBorders>
              <w:top w:val="single" w:color="000000" w:sz="2" w:space="0"/>
              <w:left w:val="single" w:color="000000" w:sz="2" w:space="0"/>
              <w:bottom w:val="single" w:color="auto" w:sz="8" w:space="0"/>
              <w:right w:val="single" w:color="auto" w:sz="4"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50" w:type="pct"/>
            <w:tcBorders>
              <w:top w:val="single" w:color="000000" w:sz="2" w:space="0"/>
              <w:left w:val="single" w:color="auto" w:sz="4"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十、本科实验、实习经费</w:t>
      </w:r>
    </w:p>
    <w:tbl>
      <w:tblPr>
        <w:tblStyle w:val="5"/>
        <w:tblW w:w="4870" w:type="pct"/>
        <w:jc w:val="center"/>
        <w:tblLayout w:type="autofit"/>
        <w:tblCellMar>
          <w:top w:w="0" w:type="dxa"/>
          <w:left w:w="108" w:type="dxa"/>
          <w:bottom w:w="0" w:type="dxa"/>
          <w:right w:w="108" w:type="dxa"/>
        </w:tblCellMar>
      </w:tblPr>
      <w:tblGrid>
        <w:gridCol w:w="1538"/>
        <w:gridCol w:w="2035"/>
        <w:gridCol w:w="2212"/>
        <w:gridCol w:w="2230"/>
        <w:gridCol w:w="2308"/>
        <w:gridCol w:w="2278"/>
      </w:tblGrid>
      <w:tr>
        <w:tblPrEx>
          <w:tblCellMar>
            <w:top w:w="0" w:type="dxa"/>
            <w:left w:w="108" w:type="dxa"/>
            <w:bottom w:w="0" w:type="dxa"/>
            <w:right w:w="108" w:type="dxa"/>
          </w:tblCellMar>
        </w:tblPrEx>
        <w:trPr>
          <w:trHeight w:val="624" w:hRule="exact"/>
          <w:jc w:val="center"/>
        </w:trPr>
        <w:tc>
          <w:tcPr>
            <w:tcW w:w="610"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年  度</w:t>
            </w:r>
          </w:p>
        </w:tc>
        <w:tc>
          <w:tcPr>
            <w:tcW w:w="80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本科生数</w:t>
            </w:r>
          </w:p>
        </w:tc>
        <w:tc>
          <w:tcPr>
            <w:tcW w:w="87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本科实验经费（万元）</w:t>
            </w:r>
          </w:p>
        </w:tc>
        <w:tc>
          <w:tcPr>
            <w:tcW w:w="88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生均本科实验经费（元）</w:t>
            </w:r>
          </w:p>
        </w:tc>
        <w:tc>
          <w:tcPr>
            <w:tcW w:w="91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本科实习经费（万元）</w:t>
            </w:r>
          </w:p>
        </w:tc>
        <w:tc>
          <w:tcPr>
            <w:tcW w:w="903"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生均本科实习经费（元）</w:t>
            </w:r>
          </w:p>
        </w:tc>
      </w:tr>
      <w:tr>
        <w:tblPrEx>
          <w:tblCellMar>
            <w:top w:w="0" w:type="dxa"/>
            <w:left w:w="108" w:type="dxa"/>
            <w:bottom w:w="0" w:type="dxa"/>
            <w:right w:w="108" w:type="dxa"/>
          </w:tblCellMar>
        </w:tblPrEx>
        <w:trPr>
          <w:trHeight w:val="454" w:hRule="exact"/>
          <w:jc w:val="center"/>
        </w:trPr>
        <w:tc>
          <w:tcPr>
            <w:tcW w:w="610"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0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7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8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91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903"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十一、主讲本科课程的教授占教授总数的比例</w:t>
      </w:r>
      <w:r>
        <w:rPr>
          <w:rFonts w:hint="eastAsia" w:ascii="宋体" w:cs="宋体"/>
          <w:b w:val="0"/>
          <w:bCs w:val="0"/>
          <w:color w:val="auto"/>
          <w:kern w:val="0"/>
          <w:sz w:val="20"/>
          <w:szCs w:val="20"/>
          <w:highlight w:val="none"/>
          <w:lang w:val="zh-CN"/>
        </w:rPr>
        <w:t>（不含副教授、外聘教授）</w:t>
      </w:r>
    </w:p>
    <w:p>
      <w:pPr>
        <w:numPr>
          <w:ilvl w:val="0"/>
          <w:numId w:val="0"/>
        </w:numPr>
        <w:autoSpaceDE w:val="0"/>
        <w:autoSpaceDN w:val="0"/>
        <w:adjustRightInd w:val="0"/>
        <w:spacing w:before="240" w:beforeLines="100"/>
        <w:ind w:leftChars="100"/>
        <w:rPr>
          <w:rFonts w:hint="default" w:ascii="宋体" w:eastAsia="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1.整体情况</w:t>
      </w:r>
    </w:p>
    <w:tbl>
      <w:tblPr>
        <w:tblStyle w:val="5"/>
        <w:tblW w:w="4915" w:type="pct"/>
        <w:jc w:val="center"/>
        <w:tblLayout w:type="autofit"/>
        <w:tblCellMar>
          <w:top w:w="0" w:type="dxa"/>
          <w:left w:w="0" w:type="dxa"/>
          <w:bottom w:w="0" w:type="dxa"/>
          <w:right w:w="0" w:type="dxa"/>
        </w:tblCellMar>
      </w:tblPr>
      <w:tblGrid>
        <w:gridCol w:w="2187"/>
        <w:gridCol w:w="3226"/>
        <w:gridCol w:w="2479"/>
        <w:gridCol w:w="2476"/>
        <w:gridCol w:w="2156"/>
      </w:tblGrid>
      <w:tr>
        <w:tblPrEx>
          <w:tblCellMar>
            <w:top w:w="0" w:type="dxa"/>
            <w:left w:w="0" w:type="dxa"/>
            <w:bottom w:w="0" w:type="dxa"/>
            <w:right w:w="0" w:type="dxa"/>
          </w:tblCellMar>
        </w:tblPrEx>
        <w:trPr>
          <w:trHeight w:val="510" w:hRule="exact"/>
          <w:jc w:val="center"/>
        </w:trPr>
        <w:tc>
          <w:tcPr>
            <w:tcW w:w="873"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128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教授总数</w:t>
            </w:r>
          </w:p>
        </w:tc>
        <w:tc>
          <w:tcPr>
            <w:tcW w:w="989"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教授应授课人数</w:t>
            </w:r>
          </w:p>
        </w:tc>
        <w:tc>
          <w:tcPr>
            <w:tcW w:w="98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教授实际授课人数</w:t>
            </w:r>
          </w:p>
        </w:tc>
        <w:tc>
          <w:tcPr>
            <w:tcW w:w="860"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所占比例（%）</w:t>
            </w:r>
          </w:p>
        </w:tc>
      </w:tr>
      <w:tr>
        <w:tblPrEx>
          <w:tblCellMar>
            <w:top w:w="0" w:type="dxa"/>
            <w:left w:w="0" w:type="dxa"/>
            <w:bottom w:w="0" w:type="dxa"/>
            <w:right w:w="0" w:type="dxa"/>
          </w:tblCellMar>
        </w:tblPrEx>
        <w:trPr>
          <w:trHeight w:val="454" w:hRule="exact"/>
          <w:jc w:val="center"/>
        </w:trPr>
        <w:tc>
          <w:tcPr>
            <w:tcW w:w="873"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28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98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98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60"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3"/>
        </w:numPr>
        <w:autoSpaceDE w:val="0"/>
        <w:autoSpaceDN w:val="0"/>
        <w:adjustRightInd w:val="0"/>
        <w:spacing w:before="240" w:beforeLines="100"/>
        <w:ind w:firstLine="200" w:firstLineChars="100"/>
        <w:rPr>
          <w:rFonts w:hint="eastAsia" w:ascii="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分专业情况</w:t>
      </w:r>
    </w:p>
    <w:tbl>
      <w:tblPr>
        <w:tblStyle w:val="5"/>
        <w:tblW w:w="4837" w:type="pct"/>
        <w:jc w:val="center"/>
        <w:tblLayout w:type="autofit"/>
        <w:tblCellMar>
          <w:top w:w="0" w:type="dxa"/>
          <w:left w:w="108" w:type="dxa"/>
          <w:bottom w:w="0" w:type="dxa"/>
          <w:right w:w="108" w:type="dxa"/>
        </w:tblCellMar>
      </w:tblPr>
      <w:tblGrid>
        <w:gridCol w:w="1297"/>
        <w:gridCol w:w="2400"/>
        <w:gridCol w:w="2012"/>
        <w:gridCol w:w="1771"/>
        <w:gridCol w:w="1746"/>
        <w:gridCol w:w="1746"/>
        <w:gridCol w:w="1543"/>
      </w:tblGrid>
      <w:tr>
        <w:tblPrEx>
          <w:tblCellMar>
            <w:top w:w="0" w:type="dxa"/>
            <w:left w:w="108" w:type="dxa"/>
            <w:bottom w:w="0" w:type="dxa"/>
            <w:right w:w="108" w:type="dxa"/>
          </w:tblCellMar>
        </w:tblPrEx>
        <w:trPr>
          <w:trHeight w:val="510" w:hRule="exact"/>
          <w:jc w:val="center"/>
        </w:trPr>
        <w:tc>
          <w:tcPr>
            <w:tcW w:w="518"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序 号</w:t>
            </w:r>
          </w:p>
        </w:tc>
        <w:tc>
          <w:tcPr>
            <w:tcW w:w="95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80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专业名称</w:t>
            </w:r>
          </w:p>
        </w:tc>
        <w:tc>
          <w:tcPr>
            <w:tcW w:w="70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教授总数</w:t>
            </w:r>
          </w:p>
        </w:tc>
        <w:tc>
          <w:tcPr>
            <w:tcW w:w="697"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教授应授课人数</w:t>
            </w:r>
          </w:p>
        </w:tc>
        <w:tc>
          <w:tcPr>
            <w:tcW w:w="697"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教授实际授课人数</w:t>
            </w:r>
          </w:p>
        </w:tc>
        <w:tc>
          <w:tcPr>
            <w:tcW w:w="616"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所占比例（%）</w:t>
            </w:r>
          </w:p>
        </w:tc>
      </w:tr>
      <w:tr>
        <w:tblPrEx>
          <w:tblCellMar>
            <w:top w:w="0" w:type="dxa"/>
            <w:left w:w="108" w:type="dxa"/>
            <w:bottom w:w="0" w:type="dxa"/>
            <w:right w:w="108" w:type="dxa"/>
          </w:tblCellMar>
        </w:tblPrEx>
        <w:trPr>
          <w:trHeight w:val="454" w:hRule="exact"/>
          <w:jc w:val="center"/>
        </w:trPr>
        <w:tc>
          <w:tcPr>
            <w:tcW w:w="518"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95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0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0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97"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97"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16"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十二、教授讲授本科课程占课程总门次的比例</w:t>
      </w:r>
      <w:r>
        <w:rPr>
          <w:rFonts w:hint="eastAsia" w:ascii="宋体" w:cs="宋体"/>
          <w:b w:val="0"/>
          <w:bCs w:val="0"/>
          <w:color w:val="auto"/>
          <w:kern w:val="0"/>
          <w:sz w:val="20"/>
          <w:szCs w:val="20"/>
          <w:highlight w:val="none"/>
          <w:lang w:val="zh-CN"/>
        </w:rPr>
        <w:t>（不含副教授、外聘教授）</w:t>
      </w:r>
    </w:p>
    <w:p>
      <w:pPr>
        <w:numPr>
          <w:ilvl w:val="0"/>
          <w:numId w:val="0"/>
        </w:numPr>
        <w:autoSpaceDE w:val="0"/>
        <w:autoSpaceDN w:val="0"/>
        <w:adjustRightInd w:val="0"/>
        <w:spacing w:before="240" w:beforeLines="100"/>
        <w:ind w:leftChars="100"/>
        <w:rPr>
          <w:rFonts w:hint="default" w:ascii="宋体" w:eastAsia="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1.整体情况</w:t>
      </w:r>
    </w:p>
    <w:tbl>
      <w:tblPr>
        <w:tblStyle w:val="5"/>
        <w:tblW w:w="4933" w:type="pct"/>
        <w:jc w:val="center"/>
        <w:tblLayout w:type="autofit"/>
        <w:tblCellMar>
          <w:top w:w="0" w:type="dxa"/>
          <w:left w:w="0" w:type="dxa"/>
          <w:bottom w:w="0" w:type="dxa"/>
          <w:right w:w="0" w:type="dxa"/>
        </w:tblCellMar>
      </w:tblPr>
      <w:tblGrid>
        <w:gridCol w:w="2244"/>
        <w:gridCol w:w="3218"/>
        <w:gridCol w:w="2483"/>
        <w:gridCol w:w="2481"/>
        <w:gridCol w:w="2144"/>
      </w:tblGrid>
      <w:tr>
        <w:tblPrEx>
          <w:tblCellMar>
            <w:top w:w="0" w:type="dxa"/>
            <w:left w:w="0" w:type="dxa"/>
            <w:bottom w:w="0" w:type="dxa"/>
            <w:right w:w="0" w:type="dxa"/>
          </w:tblCellMar>
        </w:tblPrEx>
        <w:trPr>
          <w:trHeight w:val="624" w:hRule="exact"/>
          <w:jc w:val="center"/>
        </w:trPr>
        <w:tc>
          <w:tcPr>
            <w:tcW w:w="892"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1279"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本科课程总门数</w:t>
            </w:r>
          </w:p>
        </w:tc>
        <w:tc>
          <w:tcPr>
            <w:tcW w:w="98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本科课程总门次数</w:t>
            </w:r>
          </w:p>
        </w:tc>
        <w:tc>
          <w:tcPr>
            <w:tcW w:w="986"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教授讲授本科课程门次数</w:t>
            </w:r>
          </w:p>
        </w:tc>
        <w:tc>
          <w:tcPr>
            <w:tcW w:w="852"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所占比例（%）</w:t>
            </w:r>
          </w:p>
        </w:tc>
      </w:tr>
      <w:tr>
        <w:tblPrEx>
          <w:tblCellMar>
            <w:top w:w="0" w:type="dxa"/>
            <w:left w:w="0" w:type="dxa"/>
            <w:bottom w:w="0" w:type="dxa"/>
            <w:right w:w="0" w:type="dxa"/>
          </w:tblCellMar>
        </w:tblPrEx>
        <w:trPr>
          <w:trHeight w:val="454" w:hRule="exact"/>
          <w:jc w:val="center"/>
        </w:trPr>
        <w:tc>
          <w:tcPr>
            <w:tcW w:w="892"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27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98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986"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852"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ind w:leftChars="100"/>
        <w:rPr>
          <w:rFonts w:hint="eastAsia" w:ascii="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2.分专业情况</w:t>
      </w:r>
    </w:p>
    <w:tbl>
      <w:tblPr>
        <w:tblStyle w:val="5"/>
        <w:tblW w:w="4918" w:type="pct"/>
        <w:jc w:val="center"/>
        <w:tblLayout w:type="autofit"/>
        <w:tblCellMar>
          <w:top w:w="0" w:type="dxa"/>
          <w:left w:w="0" w:type="dxa"/>
          <w:bottom w:w="0" w:type="dxa"/>
          <w:right w:w="0" w:type="dxa"/>
        </w:tblCellMar>
      </w:tblPr>
      <w:tblGrid>
        <w:gridCol w:w="1374"/>
        <w:gridCol w:w="1969"/>
        <w:gridCol w:w="2160"/>
        <w:gridCol w:w="2160"/>
        <w:gridCol w:w="1668"/>
        <w:gridCol w:w="1663"/>
        <w:gridCol w:w="1538"/>
      </w:tblGrid>
      <w:tr>
        <w:tblPrEx>
          <w:tblCellMar>
            <w:top w:w="0" w:type="dxa"/>
            <w:left w:w="0" w:type="dxa"/>
            <w:bottom w:w="0" w:type="dxa"/>
            <w:right w:w="0" w:type="dxa"/>
          </w:tblCellMar>
        </w:tblPrEx>
        <w:trPr>
          <w:trHeight w:val="624" w:hRule="exact"/>
          <w:jc w:val="center"/>
        </w:trPr>
        <w:tc>
          <w:tcPr>
            <w:tcW w:w="548"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序 号</w:t>
            </w:r>
          </w:p>
        </w:tc>
        <w:tc>
          <w:tcPr>
            <w:tcW w:w="78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86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专业名称</w:t>
            </w:r>
          </w:p>
        </w:tc>
        <w:tc>
          <w:tcPr>
            <w:tcW w:w="861"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本科课程总门数</w:t>
            </w:r>
          </w:p>
        </w:tc>
        <w:tc>
          <w:tcPr>
            <w:tcW w:w="66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本科课程总门次数</w:t>
            </w:r>
          </w:p>
        </w:tc>
        <w:tc>
          <w:tcPr>
            <w:tcW w:w="66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教授讲授本科课程门次数</w:t>
            </w:r>
          </w:p>
        </w:tc>
        <w:tc>
          <w:tcPr>
            <w:tcW w:w="613"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所占比例（%）</w:t>
            </w:r>
          </w:p>
        </w:tc>
      </w:tr>
      <w:tr>
        <w:tblPrEx>
          <w:tblCellMar>
            <w:top w:w="0" w:type="dxa"/>
            <w:left w:w="0" w:type="dxa"/>
            <w:bottom w:w="0" w:type="dxa"/>
            <w:right w:w="0" w:type="dxa"/>
          </w:tblCellMar>
        </w:tblPrEx>
        <w:trPr>
          <w:trHeight w:val="454" w:hRule="exact"/>
          <w:jc w:val="center"/>
        </w:trPr>
        <w:tc>
          <w:tcPr>
            <w:tcW w:w="548"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8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86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86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66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66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ind w:firstLine="31"/>
              <w:jc w:val="center"/>
              <w:rPr>
                <w:rFonts w:hint="eastAsia" w:ascii="宋体" w:cs="宋体"/>
                <w:color w:val="auto"/>
                <w:kern w:val="0"/>
                <w:sz w:val="20"/>
                <w:szCs w:val="20"/>
                <w:highlight w:val="none"/>
                <w:lang w:val="zh-CN"/>
              </w:rPr>
            </w:pPr>
          </w:p>
        </w:tc>
        <w:tc>
          <w:tcPr>
            <w:tcW w:w="613"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十三、实践教学学分、选修课学分占总学分比例</w:t>
      </w:r>
    </w:p>
    <w:p>
      <w:pPr>
        <w:numPr>
          <w:ilvl w:val="0"/>
          <w:numId w:val="0"/>
        </w:numPr>
        <w:autoSpaceDE w:val="0"/>
        <w:autoSpaceDN w:val="0"/>
        <w:adjustRightInd w:val="0"/>
        <w:spacing w:before="240" w:beforeLines="100"/>
        <w:rPr>
          <w:rFonts w:hint="default" w:ascii="宋体" w:eastAsia="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1.按学科门类情况</w:t>
      </w:r>
    </w:p>
    <w:tbl>
      <w:tblPr>
        <w:tblStyle w:val="5"/>
        <w:tblW w:w="4899" w:type="pct"/>
        <w:jc w:val="center"/>
        <w:tblLayout w:type="autofit"/>
        <w:tblCellMar>
          <w:top w:w="0" w:type="dxa"/>
          <w:left w:w="108" w:type="dxa"/>
          <w:bottom w:w="0" w:type="dxa"/>
          <w:right w:w="108" w:type="dxa"/>
        </w:tblCellMar>
      </w:tblPr>
      <w:tblGrid>
        <w:gridCol w:w="960"/>
        <w:gridCol w:w="2260"/>
        <w:gridCol w:w="1692"/>
        <w:gridCol w:w="1930"/>
        <w:gridCol w:w="2004"/>
        <w:gridCol w:w="1892"/>
        <w:gridCol w:w="1938"/>
      </w:tblGrid>
      <w:tr>
        <w:tblPrEx>
          <w:tblCellMar>
            <w:top w:w="0" w:type="dxa"/>
            <w:left w:w="108" w:type="dxa"/>
            <w:bottom w:w="0" w:type="dxa"/>
            <w:right w:w="108" w:type="dxa"/>
          </w:tblCellMar>
        </w:tblPrEx>
        <w:trPr>
          <w:trHeight w:val="454" w:hRule="exact"/>
          <w:jc w:val="center"/>
        </w:trPr>
        <w:tc>
          <w:tcPr>
            <w:tcW w:w="379" w:type="pct"/>
            <w:vMerge w:val="restar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891" w:type="pct"/>
            <w:vMerge w:val="restar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学科门类</w:t>
            </w:r>
          </w:p>
        </w:tc>
        <w:tc>
          <w:tcPr>
            <w:tcW w:w="667" w:type="pct"/>
            <w:vMerge w:val="restar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总学分</w:t>
            </w:r>
          </w:p>
        </w:tc>
        <w:tc>
          <w:tcPr>
            <w:tcW w:w="1551" w:type="pct"/>
            <w:gridSpan w:val="2"/>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实践教学</w:t>
            </w:r>
          </w:p>
        </w:tc>
        <w:tc>
          <w:tcPr>
            <w:tcW w:w="1510" w:type="pct"/>
            <w:gridSpan w:val="2"/>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选修课</w:t>
            </w:r>
          </w:p>
        </w:tc>
      </w:tr>
      <w:tr>
        <w:tblPrEx>
          <w:tblCellMar>
            <w:top w:w="0" w:type="dxa"/>
            <w:left w:w="108" w:type="dxa"/>
            <w:bottom w:w="0" w:type="dxa"/>
            <w:right w:w="108" w:type="dxa"/>
          </w:tblCellMar>
        </w:tblPrEx>
        <w:trPr>
          <w:trHeight w:val="567" w:hRule="exact"/>
          <w:jc w:val="center"/>
        </w:trPr>
        <w:tc>
          <w:tcPr>
            <w:tcW w:w="379" w:type="pct"/>
            <w:vMerge w:val="continue"/>
            <w:tcBorders>
              <w:top w:val="single" w:color="000000" w:sz="2" w:space="0"/>
              <w:left w:val="single" w:color="auto" w:sz="8" w:space="0"/>
              <w:bottom w:val="single" w:color="000000" w:sz="2" w:space="0"/>
              <w:right w:val="single" w:color="000000" w:sz="2" w:space="0"/>
            </w:tcBorders>
            <w:shd w:val="clear" w:color="000000" w:fill="FFFFFF"/>
            <w:vAlign w:val="center"/>
          </w:tcPr>
          <w:p>
            <w:pPr>
              <w:rPr>
                <w:b/>
                <w:bCs/>
                <w:color w:val="auto"/>
                <w:highlight w:val="none"/>
              </w:rPr>
            </w:pPr>
          </w:p>
        </w:tc>
        <w:tc>
          <w:tcPr>
            <w:tcW w:w="891" w:type="pct"/>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color w:val="auto"/>
                <w:highlight w:val="none"/>
              </w:rPr>
            </w:pPr>
          </w:p>
        </w:tc>
        <w:tc>
          <w:tcPr>
            <w:tcW w:w="667" w:type="pct"/>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color w:val="auto"/>
                <w:highlight w:val="none"/>
              </w:rPr>
            </w:pPr>
          </w:p>
        </w:tc>
        <w:tc>
          <w:tcPr>
            <w:tcW w:w="761"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学分</w:t>
            </w:r>
          </w:p>
        </w:tc>
        <w:tc>
          <w:tcPr>
            <w:tcW w:w="79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所占总学分比例（%）</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学分</w:t>
            </w:r>
          </w:p>
        </w:tc>
        <w:tc>
          <w:tcPr>
            <w:tcW w:w="763"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所占总学分比例（%）</w:t>
            </w:r>
          </w:p>
        </w:tc>
      </w:tr>
      <w:tr>
        <w:tblPrEx>
          <w:tblCellMar>
            <w:top w:w="0" w:type="dxa"/>
            <w:left w:w="108" w:type="dxa"/>
            <w:bottom w:w="0" w:type="dxa"/>
            <w:right w:w="108" w:type="dxa"/>
          </w:tblCellMar>
        </w:tblPrEx>
        <w:trPr>
          <w:trHeight w:val="454" w:hRule="exact"/>
          <w:jc w:val="center"/>
        </w:trPr>
        <w:tc>
          <w:tcPr>
            <w:tcW w:w="379"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9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6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6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90"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46"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763"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rPr>
          <w:rFonts w:hint="default" w:ascii="宋体" w:eastAsia="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2.按专业情况</w:t>
      </w:r>
    </w:p>
    <w:tbl>
      <w:tblPr>
        <w:tblStyle w:val="5"/>
        <w:tblW w:w="4929" w:type="pct"/>
        <w:jc w:val="center"/>
        <w:tblLayout w:type="autofit"/>
        <w:tblCellMar>
          <w:top w:w="0" w:type="dxa"/>
          <w:left w:w="108" w:type="dxa"/>
          <w:bottom w:w="0" w:type="dxa"/>
          <w:right w:w="108" w:type="dxa"/>
        </w:tblCellMar>
      </w:tblPr>
      <w:tblGrid>
        <w:gridCol w:w="873"/>
        <w:gridCol w:w="2085"/>
        <w:gridCol w:w="1606"/>
        <w:gridCol w:w="1463"/>
        <w:gridCol w:w="1669"/>
        <w:gridCol w:w="1738"/>
        <w:gridCol w:w="1639"/>
        <w:gridCol w:w="1680"/>
      </w:tblGrid>
      <w:tr>
        <w:tblPrEx>
          <w:tblCellMar>
            <w:top w:w="0" w:type="dxa"/>
            <w:left w:w="108" w:type="dxa"/>
            <w:bottom w:w="0" w:type="dxa"/>
            <w:right w:w="108" w:type="dxa"/>
          </w:tblCellMar>
        </w:tblPrEx>
        <w:trPr>
          <w:trHeight w:val="454" w:hRule="exact"/>
          <w:jc w:val="center"/>
        </w:trPr>
        <w:tc>
          <w:tcPr>
            <w:tcW w:w="342" w:type="pct"/>
            <w:vMerge w:val="restar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2085" w:type="dxa"/>
            <w:vMerge w:val="restart"/>
            <w:tcBorders>
              <w:top w:val="single" w:color="auto" w:sz="8" w:space="0"/>
              <w:left w:val="single" w:color="000000" w:sz="2" w:space="0"/>
              <w:right w:val="single" w:color="000000" w:sz="2" w:space="0"/>
            </w:tcBorders>
            <w:shd w:val="clear" w:color="000000" w:fill="FFFFFF"/>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1606" w:type="dxa"/>
            <w:vMerge w:val="restart"/>
            <w:tcBorders>
              <w:top w:val="single" w:color="auto" w:sz="8" w:space="0"/>
              <w:left w:val="single" w:color="000000" w:sz="2" w:space="0"/>
              <w:bottom w:val="single" w:color="000000" w:sz="2" w:space="0"/>
              <w:right w:val="single" w:color="000000" w:sz="2" w:space="0"/>
            </w:tcBorders>
            <w:shd w:val="clear" w:color="000000" w:fill="FFFFFF"/>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 w:val="20"/>
                <w:szCs w:val="20"/>
                <w:highlight w:val="none"/>
                <w:lang w:val="zh-CN"/>
              </w:rPr>
            </w:pPr>
            <w:r>
              <w:rPr>
                <w:rFonts w:hint="eastAsia" w:ascii="宋体" w:cs="宋体"/>
                <w:b/>
                <w:bCs/>
                <w:color w:val="auto"/>
                <w:kern w:val="0"/>
                <w:szCs w:val="21"/>
                <w:highlight w:val="none"/>
                <w:vertAlign w:val="baseline"/>
                <w:lang w:val="zh-CN"/>
              </w:rPr>
              <w:t>专业名称</w:t>
            </w:r>
          </w:p>
        </w:tc>
        <w:tc>
          <w:tcPr>
            <w:tcW w:w="573" w:type="pct"/>
            <w:vMerge w:val="restar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总学分</w:t>
            </w:r>
          </w:p>
        </w:tc>
        <w:tc>
          <w:tcPr>
            <w:tcW w:w="1335" w:type="pct"/>
            <w:gridSpan w:val="2"/>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实践教学</w:t>
            </w:r>
          </w:p>
        </w:tc>
        <w:tc>
          <w:tcPr>
            <w:tcW w:w="1300" w:type="pct"/>
            <w:gridSpan w:val="2"/>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选修课</w:t>
            </w:r>
          </w:p>
        </w:tc>
      </w:tr>
      <w:tr>
        <w:tblPrEx>
          <w:tblCellMar>
            <w:top w:w="0" w:type="dxa"/>
            <w:left w:w="108" w:type="dxa"/>
            <w:bottom w:w="0" w:type="dxa"/>
            <w:right w:w="108" w:type="dxa"/>
          </w:tblCellMar>
        </w:tblPrEx>
        <w:trPr>
          <w:trHeight w:val="567" w:hRule="exact"/>
          <w:jc w:val="center"/>
        </w:trPr>
        <w:tc>
          <w:tcPr>
            <w:tcW w:w="342" w:type="pct"/>
            <w:vMerge w:val="continue"/>
            <w:tcBorders>
              <w:top w:val="single" w:color="000000" w:sz="2" w:space="0"/>
              <w:left w:val="single" w:color="auto" w:sz="8" w:space="0"/>
              <w:bottom w:val="single" w:color="000000" w:sz="2" w:space="0"/>
              <w:right w:val="single" w:color="000000" w:sz="2" w:space="0"/>
            </w:tcBorders>
            <w:shd w:val="clear" w:color="000000" w:fill="FFFFFF"/>
            <w:vAlign w:val="center"/>
          </w:tcPr>
          <w:p>
            <w:pPr>
              <w:rPr>
                <w:b/>
                <w:bCs/>
                <w:color w:val="auto"/>
                <w:highlight w:val="none"/>
              </w:rPr>
            </w:pPr>
          </w:p>
        </w:tc>
        <w:tc>
          <w:tcPr>
            <w:tcW w:w="817" w:type="pct"/>
            <w:vMerge w:val="continue"/>
            <w:tcBorders>
              <w:left w:val="single" w:color="000000" w:sz="2" w:space="0"/>
              <w:bottom w:val="single" w:color="000000" w:sz="2" w:space="0"/>
              <w:right w:val="single" w:color="000000" w:sz="2" w:space="0"/>
            </w:tcBorders>
            <w:shd w:val="clear" w:color="000000" w:fill="FFFFFF"/>
            <w:vAlign w:val="center"/>
          </w:tcPr>
          <w:p>
            <w:pPr>
              <w:rPr>
                <w:b/>
                <w:bCs/>
                <w:color w:val="auto"/>
                <w:highlight w:val="none"/>
              </w:rPr>
            </w:pPr>
          </w:p>
        </w:tc>
        <w:tc>
          <w:tcPr>
            <w:tcW w:w="629" w:type="pct"/>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color w:val="auto"/>
                <w:highlight w:val="none"/>
              </w:rPr>
            </w:pPr>
          </w:p>
        </w:tc>
        <w:tc>
          <w:tcPr>
            <w:tcW w:w="573" w:type="pct"/>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color w:val="auto"/>
                <w:highlight w:val="none"/>
              </w:rPr>
            </w:pPr>
          </w:p>
        </w:tc>
        <w:tc>
          <w:tcPr>
            <w:tcW w:w="65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学分</w:t>
            </w:r>
          </w:p>
        </w:tc>
        <w:tc>
          <w:tcPr>
            <w:tcW w:w="681"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所占总学分比例（%）</w:t>
            </w:r>
          </w:p>
        </w:tc>
        <w:tc>
          <w:tcPr>
            <w:tcW w:w="64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学分</w:t>
            </w:r>
          </w:p>
        </w:tc>
        <w:tc>
          <w:tcPr>
            <w:tcW w:w="658" w:type="pct"/>
            <w:tcBorders>
              <w:top w:val="single" w:color="000000" w:sz="2"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所占总学分比例（%）</w:t>
            </w:r>
          </w:p>
        </w:tc>
      </w:tr>
      <w:tr>
        <w:tblPrEx>
          <w:tblCellMar>
            <w:top w:w="0" w:type="dxa"/>
            <w:left w:w="108" w:type="dxa"/>
            <w:bottom w:w="0" w:type="dxa"/>
            <w:right w:w="108" w:type="dxa"/>
          </w:tblCellMar>
        </w:tblPrEx>
        <w:trPr>
          <w:trHeight w:val="454" w:hRule="exact"/>
          <w:jc w:val="center"/>
        </w:trPr>
        <w:tc>
          <w:tcPr>
            <w:tcW w:w="342"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81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2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7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5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81"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42"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58"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numPr>
          <w:ilvl w:val="0"/>
          <w:numId w:val="0"/>
        </w:numPr>
        <w:autoSpaceDE w:val="0"/>
        <w:autoSpaceDN w:val="0"/>
        <w:adjustRightInd w:val="0"/>
        <w:spacing w:before="240" w:beforeLines="100" w:line="360" w:lineRule="auto"/>
        <w:rPr>
          <w:rFonts w:hint="eastAsia" w:ascii="宋体" w:cs="宋体"/>
          <w:b/>
          <w:bCs/>
          <w:color w:val="auto"/>
          <w:kern w:val="0"/>
          <w:szCs w:val="21"/>
          <w:highlight w:val="none"/>
          <w:lang w:val="zh-CN"/>
        </w:rPr>
      </w:pPr>
      <w:r>
        <w:rPr>
          <w:rFonts w:hint="eastAsia" w:ascii="宋体" w:cs="宋体"/>
          <w:b/>
          <w:bCs/>
          <w:color w:val="auto"/>
          <w:kern w:val="0"/>
          <w:szCs w:val="21"/>
          <w:highlight w:val="none"/>
          <w:lang w:val="zh-CN"/>
        </w:rPr>
        <w:t>十四、基地建设情况</w:t>
      </w:r>
    </w:p>
    <w:tbl>
      <w:tblPr>
        <w:tblStyle w:val="6"/>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882"/>
        <w:gridCol w:w="1882"/>
        <w:gridCol w:w="1882"/>
        <w:gridCol w:w="1887"/>
        <w:gridCol w:w="1882"/>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pct"/>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序号</w:t>
            </w:r>
          </w:p>
        </w:tc>
        <w:tc>
          <w:tcPr>
            <w:tcW w:w="739" w:type="pct"/>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Cs w:val="21"/>
                <w:highlight w:val="none"/>
                <w:vertAlign w:val="baseli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739" w:type="pct"/>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专业名称</w:t>
            </w:r>
          </w:p>
        </w:tc>
        <w:tc>
          <w:tcPr>
            <w:tcW w:w="739" w:type="pct"/>
            <w:vAlign w:val="center"/>
          </w:tcPr>
          <w:p>
            <w:pPr>
              <w:numPr>
                <w:ilvl w:val="0"/>
                <w:numId w:val="0"/>
              </w:numPr>
              <w:autoSpaceDE w:val="0"/>
              <w:autoSpaceDN w:val="0"/>
              <w:adjustRightInd w:val="0"/>
              <w:spacing w:before="240" w:beforeLines="100" w:line="360" w:lineRule="auto"/>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基地名称</w:t>
            </w:r>
          </w:p>
        </w:tc>
        <w:tc>
          <w:tcPr>
            <w:tcW w:w="741" w:type="pct"/>
            <w:vAlign w:val="center"/>
          </w:tcPr>
          <w:p>
            <w:pPr>
              <w:numPr>
                <w:ilvl w:val="0"/>
                <w:numId w:val="0"/>
              </w:numPr>
              <w:autoSpaceDE w:val="0"/>
              <w:autoSpaceDN w:val="0"/>
              <w:adjustRightInd w:val="0"/>
              <w:spacing w:before="240" w:beforeLines="100" w:line="360" w:lineRule="auto"/>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建立时间</w:t>
            </w:r>
          </w:p>
        </w:tc>
        <w:tc>
          <w:tcPr>
            <w:tcW w:w="739" w:type="pct"/>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是否是示范性教育实践基地</w:t>
            </w:r>
          </w:p>
        </w:tc>
        <w:tc>
          <w:tcPr>
            <w:tcW w:w="739" w:type="pct"/>
            <w:vAlign w:val="center"/>
          </w:tcPr>
          <w:p>
            <w:pPr>
              <w:numPr>
                <w:ilvl w:val="0"/>
                <w:numId w:val="0"/>
              </w:numPr>
              <w:autoSpaceDE w:val="0"/>
              <w:autoSpaceDN w:val="0"/>
              <w:adjustRightInd w:val="0"/>
              <w:spacing w:before="240" w:beforeLines="100" w:line="360" w:lineRule="auto"/>
              <w:ind w:left="0" w:leftChars="0" w:firstLine="0" w:firstLineChars="0"/>
              <w:jc w:val="center"/>
              <w:rPr>
                <w:rFonts w:hint="eastAsia" w:ascii="宋体" w:cs="宋体"/>
                <w:b/>
                <w:bCs/>
                <w:color w:val="auto"/>
                <w:kern w:val="0"/>
                <w:szCs w:val="21"/>
                <w:highlight w:val="none"/>
                <w:vertAlign w:val="baseline"/>
                <w:lang w:val="zh-CN"/>
              </w:rPr>
            </w:pPr>
            <w:r>
              <w:rPr>
                <w:rFonts w:hint="eastAsia" w:ascii="宋体" w:cs="宋体"/>
                <w:b/>
                <w:bCs/>
                <w:color w:val="auto"/>
                <w:kern w:val="0"/>
                <w:szCs w:val="21"/>
                <w:highlight w:val="none"/>
                <w:vertAlign w:val="baseline"/>
                <w:lang w:val="zh-CN"/>
              </w:rPr>
              <w:t>是否是创业实习基地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39"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39"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39"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41"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39"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c>
          <w:tcPr>
            <w:tcW w:w="739" w:type="pct"/>
          </w:tcPr>
          <w:p>
            <w:pPr>
              <w:numPr>
                <w:ilvl w:val="0"/>
                <w:numId w:val="0"/>
              </w:numPr>
              <w:autoSpaceDE w:val="0"/>
              <w:autoSpaceDN w:val="0"/>
              <w:adjustRightInd w:val="0"/>
              <w:spacing w:before="240" w:beforeLines="100" w:line="360" w:lineRule="auto"/>
              <w:rPr>
                <w:rFonts w:hint="eastAsia" w:ascii="宋体" w:cs="宋体"/>
                <w:color w:val="auto"/>
                <w:kern w:val="0"/>
                <w:szCs w:val="21"/>
                <w:highlight w:val="none"/>
                <w:vertAlign w:val="baseline"/>
                <w:lang w:val="zh-CN"/>
              </w:rPr>
            </w:pPr>
          </w:p>
        </w:tc>
      </w:tr>
    </w:tbl>
    <w:p>
      <w:pPr>
        <w:autoSpaceDE w:val="0"/>
        <w:autoSpaceDN w:val="0"/>
        <w:adjustRightInd w:val="0"/>
        <w:spacing w:before="240" w:beforeLines="100"/>
        <w:rPr>
          <w:rFonts w:hint="eastAsia" w:ascii="宋体" w:cs="宋体"/>
          <w:color w:val="auto"/>
          <w:kern w:val="0"/>
          <w:sz w:val="20"/>
          <w:szCs w:val="20"/>
          <w:highlight w:val="none"/>
          <w:lang w:val="zh-CN"/>
        </w:rPr>
      </w:pPr>
      <w:r>
        <w:rPr>
          <w:rFonts w:hint="eastAsia" w:ascii="宋体" w:cs="宋体"/>
          <w:b/>
          <w:bCs/>
          <w:color w:val="auto"/>
          <w:kern w:val="0"/>
          <w:sz w:val="20"/>
          <w:szCs w:val="20"/>
          <w:highlight w:val="none"/>
          <w:lang w:val="zh-CN"/>
        </w:rPr>
        <w:t>十五、应届本科生毕业率、学位授予率、初次就业率（不含蒙古语授课专业）</w:t>
      </w:r>
    </w:p>
    <w:tbl>
      <w:tblPr>
        <w:tblStyle w:val="5"/>
        <w:tblW w:w="4938" w:type="pct"/>
        <w:jc w:val="center"/>
        <w:tblLayout w:type="autofit"/>
        <w:tblCellMar>
          <w:top w:w="0" w:type="dxa"/>
          <w:left w:w="108" w:type="dxa"/>
          <w:bottom w:w="0" w:type="dxa"/>
          <w:right w:w="108" w:type="dxa"/>
        </w:tblCellMar>
      </w:tblPr>
      <w:tblGrid>
        <w:gridCol w:w="948"/>
        <w:gridCol w:w="1488"/>
        <w:gridCol w:w="1240"/>
        <w:gridCol w:w="1475"/>
        <w:gridCol w:w="1260"/>
        <w:gridCol w:w="1260"/>
        <w:gridCol w:w="1145"/>
        <w:gridCol w:w="1337"/>
        <w:gridCol w:w="1296"/>
        <w:gridCol w:w="1328"/>
      </w:tblGrid>
      <w:tr>
        <w:tblPrEx>
          <w:tblCellMar>
            <w:top w:w="0" w:type="dxa"/>
            <w:left w:w="108" w:type="dxa"/>
            <w:bottom w:w="0" w:type="dxa"/>
            <w:right w:w="108" w:type="dxa"/>
          </w:tblCellMar>
        </w:tblPrEx>
        <w:trPr>
          <w:trHeight w:val="1021" w:hRule="exact"/>
          <w:jc w:val="center"/>
        </w:trPr>
        <w:tc>
          <w:tcPr>
            <w:tcW w:w="371"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582"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48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专业名称</w:t>
            </w:r>
          </w:p>
        </w:tc>
        <w:tc>
          <w:tcPr>
            <w:tcW w:w="57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预计应届本科毕业生数</w:t>
            </w:r>
          </w:p>
        </w:tc>
        <w:tc>
          <w:tcPr>
            <w:tcW w:w="49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应届本科毕业生数</w:t>
            </w:r>
          </w:p>
        </w:tc>
        <w:tc>
          <w:tcPr>
            <w:tcW w:w="49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应届本科生毕业率（%）</w:t>
            </w:r>
          </w:p>
        </w:tc>
        <w:tc>
          <w:tcPr>
            <w:tcW w:w="44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授予学位人数</w:t>
            </w:r>
          </w:p>
        </w:tc>
        <w:tc>
          <w:tcPr>
            <w:tcW w:w="52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学位授予率（%）</w:t>
            </w:r>
          </w:p>
        </w:tc>
        <w:tc>
          <w:tcPr>
            <w:tcW w:w="50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应届毕业生就业人数</w:t>
            </w:r>
          </w:p>
        </w:tc>
        <w:tc>
          <w:tcPr>
            <w:tcW w:w="519"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初次就业率（%）</w:t>
            </w:r>
          </w:p>
        </w:tc>
      </w:tr>
      <w:tr>
        <w:tblPrEx>
          <w:tblCellMar>
            <w:top w:w="0" w:type="dxa"/>
            <w:left w:w="108" w:type="dxa"/>
            <w:bottom w:w="0" w:type="dxa"/>
            <w:right w:w="108" w:type="dxa"/>
          </w:tblCellMar>
        </w:tblPrEx>
        <w:trPr>
          <w:trHeight w:val="454" w:hRule="exact"/>
          <w:jc w:val="center"/>
        </w:trPr>
        <w:tc>
          <w:tcPr>
            <w:tcW w:w="371" w:type="pct"/>
            <w:tcBorders>
              <w:top w:val="single" w:color="000000" w:sz="2"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8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7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4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1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r>
        <w:tblPrEx>
          <w:tblCellMar>
            <w:top w:w="0" w:type="dxa"/>
            <w:left w:w="108" w:type="dxa"/>
            <w:bottom w:w="0" w:type="dxa"/>
            <w:right w:w="108" w:type="dxa"/>
          </w:tblCellMar>
        </w:tblPrEx>
        <w:trPr>
          <w:trHeight w:val="454" w:hRule="exact"/>
          <w:jc w:val="center"/>
        </w:trPr>
        <w:tc>
          <w:tcPr>
            <w:tcW w:w="1438" w:type="pct"/>
            <w:gridSpan w:val="3"/>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学校总体情况</w:t>
            </w:r>
          </w:p>
        </w:tc>
        <w:tc>
          <w:tcPr>
            <w:tcW w:w="57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4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23"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1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十六、蒙古语授课专业应届本科生毕业率、学位授予率、就业率</w:t>
      </w:r>
    </w:p>
    <w:tbl>
      <w:tblPr>
        <w:tblStyle w:val="5"/>
        <w:tblW w:w="4919" w:type="pct"/>
        <w:jc w:val="center"/>
        <w:tblLayout w:type="autofit"/>
        <w:tblCellMar>
          <w:top w:w="0" w:type="dxa"/>
          <w:left w:w="108" w:type="dxa"/>
          <w:bottom w:w="0" w:type="dxa"/>
          <w:right w:w="108" w:type="dxa"/>
        </w:tblCellMar>
      </w:tblPr>
      <w:tblGrid>
        <w:gridCol w:w="796"/>
        <w:gridCol w:w="1561"/>
        <w:gridCol w:w="1363"/>
        <w:gridCol w:w="1472"/>
        <w:gridCol w:w="1261"/>
        <w:gridCol w:w="1261"/>
        <w:gridCol w:w="1144"/>
        <w:gridCol w:w="1335"/>
        <w:gridCol w:w="1294"/>
        <w:gridCol w:w="1240"/>
      </w:tblGrid>
      <w:tr>
        <w:tblPrEx>
          <w:tblCellMar>
            <w:top w:w="0" w:type="dxa"/>
            <w:left w:w="108" w:type="dxa"/>
            <w:bottom w:w="0" w:type="dxa"/>
            <w:right w:w="108" w:type="dxa"/>
          </w:tblCellMar>
        </w:tblPrEx>
        <w:trPr>
          <w:trHeight w:val="1021" w:hRule="exact"/>
          <w:jc w:val="center"/>
        </w:trPr>
        <w:tc>
          <w:tcPr>
            <w:tcW w:w="313"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序号</w:t>
            </w:r>
          </w:p>
        </w:tc>
        <w:tc>
          <w:tcPr>
            <w:tcW w:w="613"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vertAlign w:val="baseline"/>
                <w:lang w:val="zh-CN"/>
              </w:rPr>
              <w:t>专业代码</w:t>
            </w:r>
            <w:r>
              <w:rPr>
                <w:rFonts w:hint="eastAsia" w:ascii="宋体" w:cs="宋体"/>
                <w:b/>
                <w:bCs/>
                <w:color w:val="auto"/>
                <w:kern w:val="0"/>
                <w:sz w:val="20"/>
                <w:szCs w:val="20"/>
                <w:highlight w:val="none"/>
                <w:vertAlign w:val="baseline"/>
                <w:lang w:val="en-US" w:eastAsia="zh-CN"/>
              </w:rPr>
              <w:t>/专业大类</w:t>
            </w:r>
          </w:p>
        </w:tc>
        <w:tc>
          <w:tcPr>
            <w:tcW w:w="53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专业名称</w:t>
            </w:r>
          </w:p>
        </w:tc>
        <w:tc>
          <w:tcPr>
            <w:tcW w:w="57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预计应届本科毕业生数</w:t>
            </w:r>
          </w:p>
        </w:tc>
        <w:tc>
          <w:tcPr>
            <w:tcW w:w="49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应届本科毕业生数</w:t>
            </w:r>
          </w:p>
        </w:tc>
        <w:tc>
          <w:tcPr>
            <w:tcW w:w="495"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应届本科生毕业率（%）</w:t>
            </w:r>
          </w:p>
        </w:tc>
        <w:tc>
          <w:tcPr>
            <w:tcW w:w="449"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授予学位人数</w:t>
            </w:r>
          </w:p>
        </w:tc>
        <w:tc>
          <w:tcPr>
            <w:tcW w:w="524"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学位授予率（%）</w:t>
            </w:r>
          </w:p>
        </w:tc>
        <w:tc>
          <w:tcPr>
            <w:tcW w:w="508"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应届毕业生就业人数</w:t>
            </w:r>
          </w:p>
        </w:tc>
        <w:tc>
          <w:tcPr>
            <w:tcW w:w="48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初次就业率（%）</w:t>
            </w:r>
          </w:p>
        </w:tc>
      </w:tr>
      <w:tr>
        <w:tblPrEx>
          <w:tblCellMar>
            <w:top w:w="0" w:type="dxa"/>
            <w:left w:w="108" w:type="dxa"/>
            <w:bottom w:w="0" w:type="dxa"/>
            <w:right w:w="108" w:type="dxa"/>
          </w:tblCellMar>
        </w:tblPrEx>
        <w:trPr>
          <w:trHeight w:val="454" w:hRule="exact"/>
          <w:jc w:val="center"/>
        </w:trPr>
        <w:tc>
          <w:tcPr>
            <w:tcW w:w="313" w:type="pct"/>
            <w:tcBorders>
              <w:top w:val="single" w:color="000000" w:sz="2"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61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3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7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4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r>
        <w:tblPrEx>
          <w:tblCellMar>
            <w:top w:w="0" w:type="dxa"/>
            <w:left w:w="108" w:type="dxa"/>
            <w:bottom w:w="0" w:type="dxa"/>
            <w:right w:w="108" w:type="dxa"/>
          </w:tblCellMar>
        </w:tblPrEx>
        <w:trPr>
          <w:trHeight w:val="454" w:hRule="exact"/>
          <w:jc w:val="center"/>
        </w:trPr>
        <w:tc>
          <w:tcPr>
            <w:tcW w:w="1461" w:type="pct"/>
            <w:gridSpan w:val="3"/>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学校总体情况</w:t>
            </w:r>
          </w:p>
        </w:tc>
        <w:tc>
          <w:tcPr>
            <w:tcW w:w="57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95"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49"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24"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508"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48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ind w:firstLine="200" w:firstLineChars="100"/>
        <w:rPr>
          <w:rFonts w:hint="eastAsia" w:ascii="宋体" w:cs="宋体"/>
          <w:color w:val="auto"/>
          <w:kern w:val="0"/>
          <w:sz w:val="20"/>
          <w:szCs w:val="20"/>
          <w:highlight w:val="none"/>
          <w:lang w:val="zh-CN"/>
        </w:rPr>
      </w:pPr>
    </w:p>
    <w:p>
      <w:pPr>
        <w:autoSpaceDE w:val="0"/>
        <w:autoSpaceDN w:val="0"/>
        <w:adjustRightInd w:val="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十七、体质测试达标率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1717"/>
        <w:gridCol w:w="1848"/>
        <w:gridCol w:w="1848"/>
        <w:gridCol w:w="1512"/>
        <w:gridCol w:w="218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校内专业代码</w:t>
            </w:r>
          </w:p>
        </w:tc>
        <w:tc>
          <w:tcPr>
            <w:tcW w:w="1717"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校内专业名称</w:t>
            </w:r>
          </w:p>
        </w:tc>
        <w:tc>
          <w:tcPr>
            <w:tcW w:w="1848"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参与体质测试人数</w:t>
            </w:r>
          </w:p>
        </w:tc>
        <w:tc>
          <w:tcPr>
            <w:tcW w:w="1848"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其中：近一届毕业生参与体质测试人数</w:t>
            </w:r>
          </w:p>
        </w:tc>
        <w:tc>
          <w:tcPr>
            <w:tcW w:w="1512"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测试合格人数</w:t>
            </w:r>
          </w:p>
        </w:tc>
        <w:tc>
          <w:tcPr>
            <w:tcW w:w="2184"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其中：近一届毕业生测试合格人数</w:t>
            </w:r>
          </w:p>
        </w:tc>
        <w:tc>
          <w:tcPr>
            <w:tcW w:w="1778" w:type="dxa"/>
          </w:tcPr>
          <w:p>
            <w:pPr>
              <w:autoSpaceDE w:val="0"/>
              <w:autoSpaceDN w:val="0"/>
              <w:adjustRightInd w:val="0"/>
              <w:spacing w:before="240" w:beforeLines="100"/>
              <w:jc w:val="center"/>
              <w:rPr>
                <w:rFonts w:hint="eastAsia" w:ascii="宋体" w:hAnsi="宋体" w:eastAsia="宋体" w:cs="宋体"/>
                <w:b/>
                <w:bCs/>
                <w:color w:val="auto"/>
                <w:sz w:val="24"/>
                <w:szCs w:val="24"/>
                <w:highlight w:val="none"/>
                <w:vertAlign w:val="baseline"/>
                <w:lang w:eastAsia="zh-CN"/>
              </w:rPr>
            </w:pPr>
            <w:r>
              <w:rPr>
                <w:rFonts w:hint="eastAsia" w:ascii="宋体" w:hAnsi="宋体" w:cs="宋体"/>
                <w:b/>
                <w:bCs/>
                <w:color w:val="auto"/>
                <w:sz w:val="24"/>
                <w:szCs w:val="24"/>
                <w:highlight w:val="none"/>
                <w:vertAlign w:val="baseline"/>
                <w:lang w:eastAsia="zh-CN"/>
              </w:rPr>
              <w:t>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1717"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1848"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1848"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1512"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2184"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c>
          <w:tcPr>
            <w:tcW w:w="1778" w:type="dxa"/>
          </w:tcPr>
          <w:p>
            <w:pPr>
              <w:autoSpaceDE w:val="0"/>
              <w:autoSpaceDN w:val="0"/>
              <w:adjustRightInd w:val="0"/>
              <w:spacing w:before="240" w:beforeLines="100"/>
              <w:rPr>
                <w:rFonts w:ascii="宋体" w:hAnsi="宋体" w:eastAsia="宋体" w:cs="宋体"/>
                <w:color w:val="auto"/>
                <w:sz w:val="24"/>
                <w:szCs w:val="24"/>
                <w:highlight w:val="none"/>
                <w:vertAlign w:val="baseline"/>
              </w:rPr>
            </w:pPr>
          </w:p>
        </w:tc>
      </w:tr>
    </w:tbl>
    <w:p>
      <w:pPr>
        <w:autoSpaceDE w:val="0"/>
        <w:autoSpaceDN w:val="0"/>
        <w:adjustRightInd w:val="0"/>
        <w:spacing w:before="240" w:beforeLines="100"/>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十八、应届本科毕业生大学四、六级英语通过率</w:t>
      </w:r>
    </w:p>
    <w:tbl>
      <w:tblPr>
        <w:tblStyle w:val="5"/>
        <w:tblW w:w="4910" w:type="pct"/>
        <w:jc w:val="center"/>
        <w:tblLayout w:type="autofit"/>
        <w:tblCellMar>
          <w:top w:w="0" w:type="dxa"/>
          <w:left w:w="108" w:type="dxa"/>
          <w:bottom w:w="0" w:type="dxa"/>
          <w:right w:w="108" w:type="dxa"/>
        </w:tblCellMar>
      </w:tblPr>
      <w:tblGrid>
        <w:gridCol w:w="3573"/>
        <w:gridCol w:w="4643"/>
        <w:gridCol w:w="4488"/>
      </w:tblGrid>
      <w:tr>
        <w:tblPrEx>
          <w:tblCellMar>
            <w:top w:w="0" w:type="dxa"/>
            <w:left w:w="108" w:type="dxa"/>
            <w:bottom w:w="0" w:type="dxa"/>
            <w:right w:w="108" w:type="dxa"/>
          </w:tblCellMar>
        </w:tblPrEx>
        <w:trPr>
          <w:trHeight w:val="454" w:hRule="exact"/>
          <w:jc w:val="center"/>
        </w:trPr>
        <w:tc>
          <w:tcPr>
            <w:tcW w:w="1406" w:type="pct"/>
            <w:tcBorders>
              <w:top w:val="single" w:color="auto" w:sz="8" w:space="0"/>
              <w:left w:val="single" w:color="auto" w:sz="8"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en-US" w:eastAsia="zh-CN"/>
              </w:rPr>
              <w:t>学  年</w:t>
            </w:r>
          </w:p>
        </w:tc>
        <w:tc>
          <w:tcPr>
            <w:tcW w:w="1827" w:type="pct"/>
            <w:tcBorders>
              <w:top w:val="single" w:color="auto" w:sz="8"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四级通过率（%）</w:t>
            </w:r>
          </w:p>
        </w:tc>
        <w:tc>
          <w:tcPr>
            <w:tcW w:w="1766" w:type="pct"/>
            <w:tcBorders>
              <w:top w:val="single" w:color="auto" w:sz="8" w:space="0"/>
              <w:left w:val="single" w:color="000000" w:sz="2" w:space="0"/>
              <w:bottom w:val="single" w:color="000000" w:sz="2" w:space="0"/>
              <w:right w:val="single" w:color="auto" w:sz="8" w:space="0"/>
            </w:tcBorders>
            <w:shd w:val="clear" w:color="000000" w:fill="FFFFFF"/>
            <w:vAlign w:val="center"/>
          </w:tcPr>
          <w:p>
            <w:pPr>
              <w:autoSpaceDE w:val="0"/>
              <w:autoSpaceDN w:val="0"/>
              <w:adjustRightInd w:val="0"/>
              <w:jc w:val="center"/>
              <w:rPr>
                <w:rFonts w:hint="eastAsia" w:ascii="宋体" w:cs="宋体"/>
                <w:b/>
                <w:bCs/>
                <w:color w:val="auto"/>
                <w:kern w:val="0"/>
                <w:sz w:val="20"/>
                <w:szCs w:val="20"/>
                <w:highlight w:val="none"/>
                <w:lang w:val="zh-CN"/>
              </w:rPr>
            </w:pPr>
            <w:r>
              <w:rPr>
                <w:rFonts w:hint="eastAsia" w:ascii="宋体" w:cs="宋体"/>
                <w:b/>
                <w:bCs/>
                <w:color w:val="auto"/>
                <w:kern w:val="0"/>
                <w:sz w:val="20"/>
                <w:szCs w:val="20"/>
                <w:highlight w:val="none"/>
                <w:lang w:val="zh-CN"/>
              </w:rPr>
              <w:t>六级通过率（%）</w:t>
            </w:r>
          </w:p>
        </w:tc>
      </w:tr>
      <w:tr>
        <w:tblPrEx>
          <w:tblCellMar>
            <w:top w:w="0" w:type="dxa"/>
            <w:left w:w="108" w:type="dxa"/>
            <w:bottom w:w="0" w:type="dxa"/>
            <w:right w:w="108" w:type="dxa"/>
          </w:tblCellMar>
        </w:tblPrEx>
        <w:trPr>
          <w:trHeight w:val="454" w:hRule="exact"/>
          <w:jc w:val="center"/>
        </w:trPr>
        <w:tc>
          <w:tcPr>
            <w:tcW w:w="1406" w:type="pct"/>
            <w:tcBorders>
              <w:top w:val="single" w:color="000000" w:sz="2" w:space="0"/>
              <w:left w:val="single" w:color="auto" w:sz="8"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827" w:type="pct"/>
            <w:tcBorders>
              <w:top w:val="single" w:color="000000" w:sz="2" w:space="0"/>
              <w:left w:val="single" w:color="000000" w:sz="2" w:space="0"/>
              <w:bottom w:val="single" w:color="auto" w:sz="8" w:space="0"/>
              <w:right w:val="single" w:color="000000" w:sz="2"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c>
          <w:tcPr>
            <w:tcW w:w="1766" w:type="pct"/>
            <w:tcBorders>
              <w:top w:val="single" w:color="000000" w:sz="2" w:space="0"/>
              <w:left w:val="single" w:color="000000" w:sz="2" w:space="0"/>
              <w:bottom w:val="single" w:color="auto" w:sz="8" w:space="0"/>
              <w:right w:val="single" w:color="auto" w:sz="8" w:space="0"/>
            </w:tcBorders>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p>
        </w:tc>
      </w:tr>
    </w:tbl>
    <w:p>
      <w:pPr>
        <w:autoSpaceDE w:val="0"/>
        <w:autoSpaceDN w:val="0"/>
        <w:adjustRightInd w:val="0"/>
        <w:ind w:firstLine="200" w:firstLineChars="100"/>
        <w:rPr>
          <w:rFonts w:hint="eastAsia" w:ascii="宋体" w:cs="宋体"/>
          <w:color w:val="auto"/>
          <w:kern w:val="0"/>
          <w:sz w:val="20"/>
          <w:szCs w:val="20"/>
          <w:highlight w:val="none"/>
          <w:lang w:val="zh-CN"/>
        </w:rPr>
      </w:pPr>
    </w:p>
    <w:p>
      <w:pPr>
        <w:autoSpaceDE w:val="0"/>
        <w:autoSpaceDN w:val="0"/>
        <w:adjustRightInd w:val="0"/>
        <w:spacing w:before="240" w:beforeLines="100" w:line="360" w:lineRule="auto"/>
        <w:rPr>
          <w:rFonts w:hint="eastAsia" w:ascii="宋体" w:cs="??_GB2312"/>
          <w:b/>
          <w:bCs/>
          <w:color w:val="auto"/>
          <w:kern w:val="0"/>
          <w:szCs w:val="21"/>
          <w:highlight w:val="none"/>
        </w:rPr>
      </w:pPr>
      <w:r>
        <w:rPr>
          <w:rFonts w:hint="eastAsia" w:ascii="宋体" w:cs="宋体"/>
          <w:b/>
          <w:bCs/>
          <w:color w:val="auto"/>
          <w:kern w:val="0"/>
          <w:szCs w:val="21"/>
          <w:highlight w:val="none"/>
          <w:lang w:val="zh-CN"/>
        </w:rPr>
        <w:t>十九、学生学习满意度（调查方法与结果视本校此项工作基础酌情公布）</w:t>
      </w:r>
    </w:p>
    <w:p>
      <w:pPr>
        <w:autoSpaceDE w:val="0"/>
        <w:autoSpaceDN w:val="0"/>
        <w:adjustRightInd w:val="0"/>
        <w:spacing w:line="360" w:lineRule="auto"/>
        <w:rPr>
          <w:rFonts w:hint="eastAsia" w:ascii="宋体" w:cs="??_GB2312"/>
          <w:b/>
          <w:bCs/>
          <w:color w:val="auto"/>
          <w:kern w:val="0"/>
          <w:szCs w:val="21"/>
          <w:highlight w:val="none"/>
        </w:rPr>
      </w:pPr>
      <w:r>
        <w:rPr>
          <w:rFonts w:hint="eastAsia" w:ascii="宋体" w:cs="宋体"/>
          <w:b/>
          <w:bCs/>
          <w:color w:val="auto"/>
          <w:kern w:val="0"/>
          <w:szCs w:val="21"/>
          <w:highlight w:val="none"/>
          <w:lang w:val="zh-CN"/>
        </w:rPr>
        <w:t>二十、用人单位对毕业生满意度（调查方法与结果、视本校此项工作基础酌情公布）</w:t>
      </w:r>
    </w:p>
    <w:p>
      <w:pPr>
        <w:autoSpaceDE w:val="0"/>
        <w:autoSpaceDN w:val="0"/>
        <w:adjustRightInd w:val="0"/>
        <w:spacing w:line="360" w:lineRule="auto"/>
        <w:rPr>
          <w:rFonts w:hint="eastAsia" w:ascii="宋体" w:cs="??_GB2312"/>
          <w:b/>
          <w:bCs/>
          <w:color w:val="auto"/>
          <w:kern w:val="0"/>
          <w:szCs w:val="21"/>
          <w:highlight w:val="none"/>
        </w:rPr>
      </w:pPr>
      <w:r>
        <w:rPr>
          <w:rFonts w:hint="eastAsia" w:ascii="宋体" w:cs="宋体"/>
          <w:b/>
          <w:bCs/>
          <w:color w:val="auto"/>
          <w:kern w:val="0"/>
          <w:szCs w:val="21"/>
          <w:highlight w:val="none"/>
          <w:lang w:val="zh-CN"/>
        </w:rPr>
        <w:t>二十一、其他与本科教学质量相关数据</w:t>
      </w:r>
    </w:p>
    <w:p>
      <w:pPr>
        <w:autoSpaceDE w:val="0"/>
        <w:autoSpaceDN w:val="0"/>
        <w:adjustRightInd w:val="0"/>
        <w:spacing w:before="240" w:beforeLines="100" w:line="360" w:lineRule="auto"/>
        <w:ind w:firstLine="455" w:firstLineChars="216"/>
        <w:rPr>
          <w:rFonts w:hint="eastAsia" w:ascii="仿宋_GB2312" w:eastAsia="仿宋_GB2312" w:cs="宋体"/>
          <w:color w:val="auto"/>
          <w:kern w:val="0"/>
          <w:szCs w:val="21"/>
          <w:highlight w:val="none"/>
          <w:lang w:val="zh-CN"/>
        </w:rPr>
      </w:pPr>
      <w:r>
        <w:rPr>
          <w:rFonts w:hint="eastAsia" w:ascii="仿宋_GB2312" w:eastAsia="仿宋_GB2312" w:cs="宋体"/>
          <w:b/>
          <w:color w:val="auto"/>
          <w:kern w:val="0"/>
          <w:szCs w:val="21"/>
          <w:highlight w:val="none"/>
          <w:lang w:val="zh-CN"/>
        </w:rPr>
        <w:t>注：</w:t>
      </w:r>
      <w:r>
        <w:rPr>
          <w:rFonts w:hint="eastAsia" w:ascii="仿宋_GB2312" w:eastAsia="仿宋_GB2312" w:cs="宋体"/>
          <w:color w:val="auto"/>
          <w:kern w:val="0"/>
          <w:szCs w:val="21"/>
          <w:highlight w:val="none"/>
          <w:lang w:val="zh-CN"/>
        </w:rPr>
        <w:t>质量报告中涉及</w:t>
      </w:r>
      <w:r>
        <w:rPr>
          <w:rFonts w:hint="eastAsia" w:ascii="仿宋_GB2312" w:eastAsia="仿宋_GB2312" w:cs="宋体"/>
          <w:color w:val="auto"/>
          <w:kern w:val="0"/>
          <w:szCs w:val="21"/>
          <w:highlight w:val="none"/>
          <w:lang w:val="en-US" w:eastAsia="zh-CN"/>
        </w:rPr>
        <w:t>的财务数据（如经费、工资）</w:t>
      </w:r>
      <w:r>
        <w:rPr>
          <w:rFonts w:hint="eastAsia" w:ascii="仿宋_GB2312" w:eastAsia="仿宋_GB2312" w:cs="宋体"/>
          <w:color w:val="auto"/>
          <w:kern w:val="0"/>
          <w:szCs w:val="21"/>
          <w:highlight w:val="none"/>
          <w:lang w:val="zh-CN"/>
        </w:rPr>
        <w:t>时间节点均为201</w:t>
      </w:r>
      <w:r>
        <w:rPr>
          <w:rFonts w:hint="eastAsia" w:ascii="仿宋_GB2312" w:eastAsia="仿宋_GB2312" w:cs="宋体"/>
          <w:color w:val="auto"/>
          <w:kern w:val="0"/>
          <w:szCs w:val="21"/>
          <w:highlight w:val="none"/>
          <w:lang w:val="en-US" w:eastAsia="zh-CN"/>
        </w:rPr>
        <w:t>9</w:t>
      </w:r>
      <w:r>
        <w:rPr>
          <w:rFonts w:hint="eastAsia" w:ascii="仿宋_GB2312" w:eastAsia="仿宋_GB2312" w:cs="宋体"/>
          <w:color w:val="auto"/>
          <w:kern w:val="0"/>
          <w:szCs w:val="21"/>
          <w:highlight w:val="none"/>
          <w:lang w:val="zh-CN"/>
        </w:rPr>
        <w:t>年</w:t>
      </w:r>
      <w:r>
        <w:rPr>
          <w:rFonts w:hint="eastAsia" w:ascii="仿宋_GB2312" w:eastAsia="仿宋_GB2312" w:cs="??_GB2312"/>
          <w:color w:val="auto"/>
          <w:kern w:val="0"/>
          <w:szCs w:val="21"/>
          <w:highlight w:val="none"/>
        </w:rPr>
        <w:t>12</w:t>
      </w:r>
      <w:r>
        <w:rPr>
          <w:rFonts w:hint="eastAsia" w:ascii="仿宋_GB2312" w:eastAsia="仿宋_GB2312" w:cs="宋体"/>
          <w:color w:val="auto"/>
          <w:kern w:val="0"/>
          <w:szCs w:val="21"/>
          <w:highlight w:val="none"/>
          <w:lang w:val="zh-CN"/>
        </w:rPr>
        <w:t>月</w:t>
      </w:r>
      <w:r>
        <w:rPr>
          <w:rFonts w:hint="eastAsia" w:ascii="仿宋_GB2312" w:eastAsia="仿宋_GB2312" w:cs="??_GB2312"/>
          <w:color w:val="auto"/>
          <w:kern w:val="0"/>
          <w:szCs w:val="21"/>
          <w:highlight w:val="none"/>
        </w:rPr>
        <w:t>31</w:t>
      </w:r>
      <w:r>
        <w:rPr>
          <w:rFonts w:hint="eastAsia" w:ascii="仿宋_GB2312" w:eastAsia="仿宋_GB2312" w:cs="宋体"/>
          <w:color w:val="auto"/>
          <w:kern w:val="0"/>
          <w:szCs w:val="21"/>
          <w:highlight w:val="none"/>
          <w:lang w:val="zh-CN"/>
        </w:rPr>
        <w:t>日；</w:t>
      </w:r>
      <w:r>
        <w:rPr>
          <w:rFonts w:hint="eastAsia" w:ascii="仿宋_GB2312" w:eastAsia="仿宋_GB2312" w:cs="宋体"/>
          <w:color w:val="auto"/>
          <w:kern w:val="0"/>
          <w:szCs w:val="21"/>
          <w:highlight w:val="none"/>
          <w:lang w:val="en-US" w:eastAsia="zh-CN"/>
        </w:rPr>
        <w:t>教学数据（学生、教师、专业、课程等）按学年计算，为2019年9月1日至2020年8月31日。</w:t>
      </w:r>
      <w:r>
        <w:rPr>
          <w:rFonts w:hint="eastAsia" w:ascii="仿宋_GB2312" w:eastAsia="仿宋_GB2312" w:cs="宋体"/>
          <w:color w:val="auto"/>
          <w:kern w:val="0"/>
          <w:szCs w:val="21"/>
          <w:highlight w:val="none"/>
          <w:lang w:val="zh-CN"/>
        </w:rPr>
        <w:t>数据的计算方法参照《教育部关于印发〈普通高等学校基本办学条件指标（试行）〉的通知》（教发</w:t>
      </w:r>
      <w:r>
        <w:rPr>
          <w:rFonts w:hint="eastAsia" w:ascii="仿宋_GB2312" w:eastAsia="仿宋_GB2312" w:cs="??_GB2312"/>
          <w:color w:val="auto"/>
          <w:kern w:val="0"/>
          <w:szCs w:val="21"/>
          <w:highlight w:val="none"/>
        </w:rPr>
        <w:t>〔2004〕2</w:t>
      </w:r>
      <w:r>
        <w:rPr>
          <w:rFonts w:hint="eastAsia" w:ascii="仿宋_GB2312" w:eastAsia="仿宋_GB2312" w:cs="宋体"/>
          <w:color w:val="auto"/>
          <w:kern w:val="0"/>
          <w:szCs w:val="21"/>
          <w:highlight w:val="none"/>
          <w:lang w:val="zh-CN"/>
        </w:rPr>
        <w:t>号文件）以及《教育部办公厅关于开展普通高等学校本科教学工作合格评估的通知》（教高厅</w:t>
      </w:r>
      <w:r>
        <w:rPr>
          <w:rFonts w:hint="eastAsia" w:ascii="仿宋_GB2312" w:eastAsia="仿宋_GB2312" w:cs="??_GB2312"/>
          <w:color w:val="auto"/>
          <w:kern w:val="0"/>
          <w:szCs w:val="21"/>
          <w:highlight w:val="none"/>
        </w:rPr>
        <w:t>〔2011〕2</w:t>
      </w:r>
      <w:r>
        <w:rPr>
          <w:rFonts w:hint="eastAsia" w:ascii="仿宋_GB2312" w:eastAsia="仿宋_GB2312" w:cs="宋体"/>
          <w:color w:val="auto"/>
          <w:kern w:val="0"/>
          <w:szCs w:val="21"/>
          <w:highlight w:val="none"/>
          <w:lang w:val="zh-CN"/>
        </w:rPr>
        <w:t>号文件）。</w:t>
      </w:r>
    </w:p>
    <w:p>
      <w:pPr>
        <w:autoSpaceDE w:val="0"/>
        <w:autoSpaceDN w:val="0"/>
        <w:adjustRightInd w:val="0"/>
        <w:spacing w:line="360" w:lineRule="auto"/>
        <w:rPr>
          <w:rFonts w:hint="eastAsia" w:ascii="宋体" w:cs="宋体"/>
          <w:color w:val="auto"/>
          <w:kern w:val="0"/>
          <w:szCs w:val="21"/>
          <w:highlight w:val="none"/>
          <w:lang w:val="zh-CN"/>
        </w:rPr>
        <w:sectPr>
          <w:pgSz w:w="15840" w:h="12240" w:orient="landscape"/>
          <w:pgMar w:top="1701" w:right="1701"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rPr>
          <w:rFonts w:hint="eastAsia" w:ascii="楷体_GB2312" w:eastAsia="楷体_GB2312"/>
          <w:color w:val="auto"/>
          <w:sz w:val="28"/>
          <w:szCs w:val="28"/>
          <w:highlight w:val="none"/>
        </w:rPr>
      </w:pPr>
      <w:r>
        <w:rPr>
          <w:rFonts w:hint="eastAsia" w:ascii="楷体_GB2312" w:eastAsia="楷体_GB2312" w:cs="宋体"/>
          <w:color w:val="auto"/>
          <w:kern w:val="0"/>
          <w:sz w:val="28"/>
          <w:szCs w:val="28"/>
          <w:highlight w:val="none"/>
          <w:lang w:val="zh-CN"/>
        </w:rPr>
        <w:t>附件3-2</w:t>
      </w:r>
    </w:p>
    <w:p>
      <w:pPr>
        <w:jc w:val="center"/>
        <w:rPr>
          <w:rFonts w:hint="eastAsia" w:ascii="宋体"/>
          <w:b/>
          <w:color w:val="auto"/>
          <w:sz w:val="32"/>
          <w:szCs w:val="32"/>
          <w:highlight w:val="none"/>
        </w:rPr>
      </w:pPr>
      <w:r>
        <w:rPr>
          <w:rFonts w:hint="eastAsia" w:ascii="宋体"/>
          <w:b/>
          <w:color w:val="auto"/>
          <w:sz w:val="32"/>
          <w:szCs w:val="32"/>
          <w:highlight w:val="none"/>
        </w:rPr>
        <w:t>本科教学质量报告支撑数据表格填写说明</w:t>
      </w:r>
    </w:p>
    <w:tbl>
      <w:tblPr>
        <w:tblStyle w:val="5"/>
        <w:tblW w:w="92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560"/>
        <w:gridCol w:w="64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1227" w:type="dxa"/>
            <w:vAlign w:val="center"/>
          </w:tcPr>
          <w:p>
            <w:pPr>
              <w:adjustRightInd w:val="0"/>
              <w:snapToGrid w:val="0"/>
              <w:jc w:val="center"/>
              <w:rPr>
                <w:rFonts w:hint="eastAsia" w:ascii="宋体"/>
                <w:b/>
                <w:color w:val="auto"/>
                <w:sz w:val="24"/>
                <w:szCs w:val="24"/>
                <w:highlight w:val="none"/>
              </w:rPr>
            </w:pPr>
            <w:r>
              <w:rPr>
                <w:rFonts w:hint="eastAsia" w:ascii="宋体"/>
                <w:b/>
                <w:color w:val="auto"/>
                <w:sz w:val="24"/>
                <w:szCs w:val="24"/>
                <w:highlight w:val="none"/>
              </w:rPr>
              <w:t>对应表序</w:t>
            </w:r>
          </w:p>
        </w:tc>
        <w:tc>
          <w:tcPr>
            <w:tcW w:w="1560" w:type="dxa"/>
            <w:vAlign w:val="center"/>
          </w:tcPr>
          <w:p>
            <w:pPr>
              <w:adjustRightInd w:val="0"/>
              <w:snapToGrid w:val="0"/>
              <w:jc w:val="center"/>
              <w:rPr>
                <w:rFonts w:hint="eastAsia" w:ascii="宋体"/>
                <w:b/>
                <w:color w:val="auto"/>
                <w:sz w:val="24"/>
                <w:szCs w:val="24"/>
                <w:highlight w:val="none"/>
              </w:rPr>
            </w:pPr>
            <w:r>
              <w:rPr>
                <w:rFonts w:hint="eastAsia" w:ascii="宋体"/>
                <w:b/>
                <w:color w:val="auto"/>
                <w:sz w:val="24"/>
                <w:szCs w:val="24"/>
                <w:highlight w:val="none"/>
              </w:rPr>
              <w:t>数据名称</w:t>
            </w:r>
          </w:p>
        </w:tc>
        <w:tc>
          <w:tcPr>
            <w:tcW w:w="6453" w:type="dxa"/>
            <w:vAlign w:val="center"/>
          </w:tcPr>
          <w:p>
            <w:pPr>
              <w:adjustRightInd w:val="0"/>
              <w:snapToGrid w:val="0"/>
              <w:jc w:val="center"/>
              <w:rPr>
                <w:rFonts w:hint="eastAsia" w:ascii="宋体"/>
                <w:b/>
                <w:color w:val="auto"/>
                <w:sz w:val="24"/>
                <w:szCs w:val="24"/>
                <w:highlight w:val="none"/>
              </w:rPr>
            </w:pPr>
            <w:r>
              <w:rPr>
                <w:rFonts w:hint="eastAsia" w:ascii="宋体"/>
                <w:b/>
                <w:color w:val="auto"/>
                <w:sz w:val="24"/>
                <w:szCs w:val="24"/>
                <w:highlight w:val="none"/>
              </w:rPr>
              <w:t>数据内涵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exact"/>
          <w:tblHeader/>
        </w:trPr>
        <w:tc>
          <w:tcPr>
            <w:tcW w:w="1227" w:type="dxa"/>
            <w:vMerge w:val="restart"/>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表一</w:t>
            </w:r>
          </w:p>
        </w:tc>
        <w:tc>
          <w:tcPr>
            <w:tcW w:w="1560" w:type="dxa"/>
            <w:vAlign w:val="center"/>
          </w:tcPr>
          <w:p>
            <w:pPr>
              <w:adjustRightInd w:val="0"/>
              <w:snapToGrid w:val="0"/>
              <w:jc w:val="center"/>
              <w:rPr>
                <w:rFonts w:hint="eastAsia" w:ascii="宋体"/>
                <w:color w:val="auto"/>
                <w:szCs w:val="21"/>
                <w:highlight w:val="none"/>
                <w:lang w:val="zh-CN"/>
              </w:rPr>
            </w:pPr>
            <w:r>
              <w:rPr>
                <w:rFonts w:hint="eastAsia" w:ascii="宋体"/>
                <w:color w:val="auto"/>
                <w:szCs w:val="21"/>
                <w:highlight w:val="none"/>
                <w:lang w:val="zh-CN"/>
              </w:rPr>
              <w:t>全日制      在校生数</w:t>
            </w:r>
          </w:p>
        </w:tc>
        <w:tc>
          <w:tcPr>
            <w:tcW w:w="6453" w:type="dxa"/>
            <w:vAlign w:val="center"/>
          </w:tcPr>
          <w:p>
            <w:pPr>
              <w:adjustRightInd w:val="0"/>
              <w:snapToGrid w:val="0"/>
              <w:jc w:val="left"/>
              <w:rPr>
                <w:rFonts w:hint="default" w:ascii="宋体"/>
                <w:color w:val="auto"/>
                <w:szCs w:val="21"/>
                <w:highlight w:val="none"/>
                <w:lang w:val="en-US"/>
              </w:rPr>
            </w:pPr>
            <w:r>
              <w:rPr>
                <w:rFonts w:hint="eastAsia" w:ascii="宋体"/>
                <w:color w:val="auto"/>
                <w:szCs w:val="21"/>
                <w:highlight w:val="none"/>
                <w:lang w:val="zh-CN"/>
              </w:rPr>
              <w:t>全日制在校生数=本科生数</w:t>
            </w:r>
            <w:r>
              <w:rPr>
                <w:rFonts w:hint="eastAsia" w:ascii="宋体"/>
                <w:color w:val="auto"/>
                <w:szCs w:val="21"/>
                <w:highlight w:val="none"/>
                <w:lang w:val="en-US" w:eastAsia="zh-CN"/>
              </w:rPr>
              <w:t>+普通（高职）专科生数+全日制硕士研究生（含留学生）+全日制博士研究生（含留学生）+预科阶段学生数+进修生数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tcBorders/>
            <w:vAlign w:val="center"/>
          </w:tcPr>
          <w:p>
            <w:pPr>
              <w:rPr>
                <w:color w:val="auto"/>
                <w:highlight w:val="none"/>
              </w:rPr>
            </w:pPr>
          </w:p>
        </w:tc>
        <w:tc>
          <w:tcPr>
            <w:tcW w:w="1560" w:type="dxa"/>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lang w:eastAsia="zh-CN"/>
              </w:rPr>
              <w:t>本科生数</w:t>
            </w:r>
          </w:p>
        </w:tc>
        <w:tc>
          <w:tcPr>
            <w:tcW w:w="6453" w:type="dxa"/>
            <w:vAlign w:val="center"/>
          </w:tcPr>
          <w:p>
            <w:pPr>
              <w:adjustRightInd w:val="0"/>
              <w:snapToGrid w:val="0"/>
              <w:jc w:val="left"/>
              <w:rPr>
                <w:rFonts w:hint="default" w:ascii="宋体" w:eastAsia="宋体"/>
                <w:color w:val="auto"/>
                <w:szCs w:val="21"/>
                <w:highlight w:val="none"/>
                <w:lang w:val="en-US" w:eastAsia="zh-CN"/>
              </w:rPr>
            </w:pPr>
            <w:r>
              <w:rPr>
                <w:rFonts w:hint="eastAsia" w:ascii="宋体"/>
                <w:color w:val="auto"/>
                <w:szCs w:val="21"/>
                <w:highlight w:val="none"/>
                <w:lang w:eastAsia="zh-CN"/>
              </w:rPr>
              <w:t>普通本科生（含预科已转段的本科生）</w:t>
            </w:r>
            <w:r>
              <w:rPr>
                <w:rFonts w:hint="eastAsia" w:ascii="宋体"/>
                <w:color w:val="auto"/>
                <w:szCs w:val="21"/>
                <w:highlight w:val="none"/>
                <w:lang w:val="en-US" w:eastAsia="zh-CN"/>
              </w:rPr>
              <w:t>+留学生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 w:hRule="exact"/>
          <w:tblHeader/>
        </w:trPr>
        <w:tc>
          <w:tcPr>
            <w:tcW w:w="1227"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w:t>
            </w:r>
            <w:r>
              <w:rPr>
                <w:rFonts w:hint="eastAsia" w:ascii="宋体"/>
                <w:color w:val="auto"/>
                <w:szCs w:val="21"/>
                <w:highlight w:val="none"/>
                <w:lang w:eastAsia="zh-CN"/>
              </w:rPr>
              <w:t>二</w:t>
            </w:r>
          </w:p>
        </w:tc>
        <w:tc>
          <w:tcPr>
            <w:tcW w:w="1560" w:type="dxa"/>
            <w:vAlign w:val="center"/>
          </w:tcPr>
          <w:p>
            <w:pPr>
              <w:adjustRightInd w:val="0"/>
              <w:snapToGrid w:val="0"/>
              <w:jc w:val="center"/>
              <w:rPr>
                <w:rFonts w:hint="eastAsia" w:ascii="宋体"/>
                <w:color w:val="auto"/>
                <w:szCs w:val="21"/>
                <w:highlight w:val="none"/>
              </w:rPr>
            </w:pPr>
            <w:r>
              <w:rPr>
                <w:rFonts w:hint="eastAsia" w:ascii="宋体" w:cs="宋体"/>
                <w:color w:val="auto"/>
                <w:spacing w:val="-4"/>
                <w:kern w:val="0"/>
                <w:szCs w:val="21"/>
                <w:highlight w:val="none"/>
                <w:lang w:val="zh-CN"/>
              </w:rPr>
              <w:t>学缘</w:t>
            </w:r>
          </w:p>
        </w:tc>
        <w:tc>
          <w:tcPr>
            <w:tcW w:w="6453" w:type="dxa"/>
            <w:vAlign w:val="center"/>
          </w:tcPr>
          <w:p>
            <w:pPr>
              <w:tabs>
                <w:tab w:val="center" w:pos="4702"/>
              </w:tabs>
              <w:autoSpaceDE w:val="0"/>
              <w:autoSpaceDN w:val="0"/>
              <w:adjustRightInd w:val="0"/>
              <w:snapToGrid w:val="0"/>
              <w:jc w:val="left"/>
              <w:rPr>
                <w:rFonts w:hint="default" w:ascii="宋体" w:eastAsia="宋体" w:cs="宋体"/>
                <w:color w:val="auto"/>
                <w:spacing w:val="-4"/>
                <w:kern w:val="0"/>
                <w:szCs w:val="21"/>
                <w:highlight w:val="none"/>
                <w:lang w:val="en-US" w:eastAsia="zh-CN"/>
              </w:rPr>
            </w:pPr>
            <w:r>
              <w:rPr>
                <w:rFonts w:hint="eastAsia" w:ascii="宋体" w:cs="宋体"/>
                <w:color w:val="auto"/>
                <w:spacing w:val="-4"/>
                <w:kern w:val="0"/>
                <w:szCs w:val="21"/>
                <w:highlight w:val="none"/>
                <w:lang w:val="zh-CN"/>
              </w:rPr>
              <w:t>指教职工中最终学位在本校取得和在国内外其他高校（或授予单位）取得的情况。其中，本校是指最终学位是在本校取得的；外校（境内）指最终学位是在境内其他学校取得的；外校（境内）值最终学位是在境外（国外及港、澳、台）学校取得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5" w:hRule="exact"/>
          <w:tblHeader/>
        </w:trPr>
        <w:tc>
          <w:tcPr>
            <w:tcW w:w="1227"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w:t>
            </w:r>
            <w:r>
              <w:rPr>
                <w:rFonts w:hint="eastAsia" w:ascii="宋体"/>
                <w:color w:val="auto"/>
                <w:szCs w:val="21"/>
                <w:highlight w:val="none"/>
                <w:lang w:eastAsia="zh-CN"/>
              </w:rPr>
              <w:t>三</w:t>
            </w:r>
            <w:r>
              <w:rPr>
                <w:rFonts w:hint="eastAsia" w:ascii="宋体"/>
                <w:color w:val="auto"/>
                <w:szCs w:val="21"/>
                <w:highlight w:val="none"/>
              </w:rPr>
              <w:t>、四</w:t>
            </w:r>
          </w:p>
        </w:tc>
        <w:tc>
          <w:tcPr>
            <w:tcW w:w="1560"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专任教师</w:t>
            </w:r>
          </w:p>
        </w:tc>
        <w:tc>
          <w:tcPr>
            <w:tcW w:w="6453" w:type="dxa"/>
            <w:vAlign w:val="center"/>
          </w:tcPr>
          <w:p>
            <w:pPr>
              <w:adjustRightInd w:val="0"/>
              <w:snapToGrid w:val="0"/>
              <w:jc w:val="left"/>
              <w:rPr>
                <w:rFonts w:hint="eastAsia" w:ascii="宋体"/>
                <w:color w:val="auto"/>
                <w:szCs w:val="21"/>
                <w:highlight w:val="none"/>
              </w:rPr>
            </w:pPr>
            <w:r>
              <w:rPr>
                <w:rFonts w:hint="eastAsia" w:ascii="宋体" w:cs="宋体"/>
                <w:color w:val="auto"/>
                <w:spacing w:val="-4"/>
                <w:kern w:val="0"/>
                <w:szCs w:val="21"/>
                <w:highlight w:val="none"/>
                <w:lang w:val="zh-CN"/>
              </w:rPr>
              <w:t>指具有教师资格证、专职从事教学工作的、只属于教学单位的人员，此处统计时不包括直属医院具有医师职称的医生。跨专业教师只统计一次，不得重复统计。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1227" w:type="dxa"/>
            <w:vMerge w:val="restart"/>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表四</w:t>
            </w:r>
          </w:p>
        </w:tc>
        <w:tc>
          <w:tcPr>
            <w:tcW w:w="1560" w:type="dxa"/>
            <w:vAlign w:val="center"/>
          </w:tcPr>
          <w:p>
            <w:pPr>
              <w:adjustRightInd w:val="0"/>
              <w:snapToGrid w:val="0"/>
              <w:jc w:val="center"/>
              <w:rPr>
                <w:rFonts w:hint="eastAsia" w:ascii="宋体" w:cs="宋体"/>
                <w:color w:val="auto"/>
                <w:spacing w:val="-4"/>
                <w:kern w:val="0"/>
                <w:szCs w:val="21"/>
                <w:highlight w:val="none"/>
                <w:lang w:val="zh-CN"/>
              </w:rPr>
            </w:pPr>
            <w:r>
              <w:rPr>
                <w:rFonts w:hint="eastAsia" w:ascii="宋体" w:cs="宋体"/>
                <w:color w:val="auto"/>
                <w:spacing w:val="-4"/>
                <w:kern w:val="0"/>
                <w:szCs w:val="21"/>
                <w:highlight w:val="none"/>
                <w:lang w:val="zh-CN"/>
              </w:rPr>
              <w:t>生师比</w:t>
            </w:r>
          </w:p>
        </w:tc>
        <w:tc>
          <w:tcPr>
            <w:tcW w:w="6453" w:type="dxa"/>
            <w:vAlign w:val="center"/>
          </w:tcPr>
          <w:p>
            <w:pPr>
              <w:tabs>
                <w:tab w:val="center" w:pos="4702"/>
              </w:tabs>
              <w:autoSpaceDE w:val="0"/>
              <w:autoSpaceDN w:val="0"/>
              <w:adjustRightInd w:val="0"/>
              <w:snapToGrid w:val="0"/>
              <w:jc w:val="left"/>
              <w:rPr>
                <w:rFonts w:hint="eastAsia" w:ascii="宋体" w:cs="宋体"/>
                <w:color w:val="auto"/>
                <w:spacing w:val="-4"/>
                <w:kern w:val="0"/>
                <w:szCs w:val="21"/>
                <w:highlight w:val="none"/>
                <w:lang w:val="zh-CN"/>
              </w:rPr>
            </w:pPr>
            <w:r>
              <w:rPr>
                <w:rFonts w:hint="eastAsia" w:ascii="宋体" w:cs="宋体"/>
                <w:color w:val="auto"/>
                <w:spacing w:val="-4"/>
                <w:kern w:val="0"/>
                <w:szCs w:val="21"/>
                <w:highlight w:val="none"/>
                <w:lang w:val="zh-CN"/>
              </w:rPr>
              <w:t>生师比=折合在校生数</w:t>
            </w:r>
            <w:r>
              <w:rPr>
                <w:rFonts w:hint="eastAsia" w:ascii="宋体" w:cs="宋体"/>
                <w:color w:val="auto"/>
                <w:kern w:val="0"/>
                <w:szCs w:val="21"/>
                <w:highlight w:val="none"/>
                <w:lang w:val="zh-CN"/>
              </w:rPr>
              <w:t>/</w:t>
            </w:r>
            <w:r>
              <w:rPr>
                <w:rFonts w:hint="eastAsia" w:ascii="宋体" w:cs="宋体"/>
                <w:color w:val="auto"/>
                <w:spacing w:val="-4"/>
                <w:kern w:val="0"/>
                <w:szCs w:val="21"/>
                <w:highlight w:val="none"/>
                <w:lang w:val="zh-CN"/>
              </w:rPr>
              <w:t>教师总数。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5" w:hRule="exac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分专业生师比</w:t>
            </w:r>
          </w:p>
        </w:tc>
        <w:tc>
          <w:tcPr>
            <w:tcW w:w="6453" w:type="dxa"/>
            <w:vAlign w:val="center"/>
          </w:tcPr>
          <w:p>
            <w:pPr>
              <w:autoSpaceDE w:val="0"/>
              <w:autoSpaceDN w:val="0"/>
              <w:adjustRightInd w:val="0"/>
              <w:snapToGrid w:val="0"/>
              <w:ind w:left="10" w:hanging="1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分专业生师比=分专业在校本科生数/分专业教师总数。分专业教师总数=分专业专任教师数+聘请校外教师数</w:t>
            </w:r>
            <w:r>
              <w:rPr>
                <w:rFonts w:hint="eastAsia" w:ascii="宋体" w:cs="宋体"/>
                <w:color w:val="auto"/>
                <w:kern w:val="0"/>
                <w:szCs w:val="21"/>
                <w:highlight w:val="none"/>
                <w:lang w:val="zh-CN" w:eastAsia="zh-CN"/>
              </w:rPr>
              <w:t>*</w:t>
            </w:r>
            <w:r>
              <w:rPr>
                <w:rFonts w:hint="eastAsia" w:ascii="宋体" w:cs="宋体"/>
                <w:color w:val="auto"/>
                <w:kern w:val="0"/>
                <w:szCs w:val="21"/>
                <w:highlight w:val="none"/>
                <w:lang w:val="zh-CN"/>
              </w:rPr>
              <w:t>0.5。分专业专任教师指具有教师资格、主要从事本专业教学工作的人员。单名教师最多归属一个专业，参与多专业教学的教师不得在多专业中重复计算。对于按专业类招生或未将教师分到专业的学校专业，分专业生师比暂时按照所在专业类生师比计。专业类生师比=专业类内所有专业在校本科生数</w:t>
            </w:r>
            <w:r>
              <w:rPr>
                <w:rFonts w:hint="eastAsia" w:ascii="宋体" w:cs="宋体"/>
                <w:color w:val="auto"/>
                <w:kern w:val="0"/>
                <w:szCs w:val="21"/>
                <w:highlight w:val="none"/>
                <w:lang w:val="zh-CN" w:eastAsia="zh-CN"/>
              </w:rPr>
              <w:t>/</w:t>
            </w:r>
            <w:r>
              <w:rPr>
                <w:rFonts w:hint="eastAsia" w:ascii="宋体" w:cs="宋体"/>
                <w:color w:val="auto"/>
                <w:kern w:val="0"/>
                <w:szCs w:val="21"/>
                <w:highlight w:val="none"/>
                <w:lang w:val="zh-CN"/>
              </w:rPr>
              <w:t>专业类教师总数。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olor w:val="auto"/>
                <w:szCs w:val="21"/>
                <w:highlight w:val="none"/>
              </w:rPr>
            </w:pPr>
            <w:r>
              <w:rPr>
                <w:rFonts w:hint="eastAsia" w:ascii="宋体" w:cs="宋体"/>
                <w:color w:val="auto"/>
                <w:kern w:val="0"/>
                <w:szCs w:val="21"/>
                <w:highlight w:val="none"/>
                <w:lang w:val="zh-CN"/>
              </w:rPr>
              <w:t>教师总数</w:t>
            </w:r>
          </w:p>
        </w:tc>
        <w:tc>
          <w:tcPr>
            <w:tcW w:w="6453" w:type="dxa"/>
            <w:vAlign w:val="center"/>
          </w:tcPr>
          <w:p>
            <w:pPr>
              <w:autoSpaceDE w:val="0"/>
              <w:autoSpaceDN w:val="0"/>
              <w:adjustRightInd w:val="0"/>
              <w:snapToGrid w:val="0"/>
              <w:ind w:left="10" w:hanging="10"/>
              <w:jc w:val="left"/>
              <w:rPr>
                <w:rFonts w:hint="eastAsia" w:ascii="宋体"/>
                <w:color w:val="auto"/>
                <w:szCs w:val="21"/>
                <w:highlight w:val="none"/>
              </w:rPr>
            </w:pPr>
            <w:r>
              <w:rPr>
                <w:rFonts w:hint="eastAsia" w:ascii="宋体" w:cs="宋体"/>
                <w:color w:val="auto"/>
                <w:kern w:val="0"/>
                <w:szCs w:val="21"/>
                <w:highlight w:val="none"/>
                <w:lang w:val="zh-CN"/>
              </w:rPr>
              <w:t>教师总数＝专任教师数＋外聘教师数×0.5。</w:t>
            </w:r>
            <w:r>
              <w:rPr>
                <w:rFonts w:hint="eastAsia" w:ascii="宋体" w:cs="宋体"/>
                <w:color w:val="auto"/>
                <w:spacing w:val="-4"/>
                <w:kern w:val="0"/>
                <w:szCs w:val="21"/>
                <w:highlight w:val="none"/>
                <w:lang w:val="zh-CN"/>
              </w:rPr>
              <w:t>聘请本校退休教师应归为外聘教师。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4" w:hRule="exact"/>
          <w:tblHeader/>
        </w:trPr>
        <w:tc>
          <w:tcPr>
            <w:tcW w:w="1227"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w:t>
            </w:r>
            <w:r>
              <w:rPr>
                <w:rFonts w:hint="eastAsia" w:ascii="宋体"/>
                <w:color w:val="auto"/>
                <w:szCs w:val="21"/>
                <w:highlight w:val="none"/>
                <w:lang w:eastAsia="zh-CN"/>
              </w:rPr>
              <w:t>一、</w:t>
            </w:r>
            <w:r>
              <w:rPr>
                <w:rFonts w:hint="eastAsia" w:ascii="宋体"/>
                <w:color w:val="auto"/>
                <w:szCs w:val="21"/>
                <w:highlight w:val="none"/>
              </w:rPr>
              <w:t>四</w:t>
            </w:r>
            <w:r>
              <w:rPr>
                <w:rFonts w:hint="eastAsia" w:ascii="宋体"/>
                <w:color w:val="auto"/>
                <w:szCs w:val="21"/>
                <w:highlight w:val="none"/>
                <w:lang w:val="en-US" w:eastAsia="zh-CN"/>
              </w:rPr>
              <w:t>、五、六、七</w:t>
            </w:r>
          </w:p>
        </w:tc>
        <w:tc>
          <w:tcPr>
            <w:tcW w:w="1560" w:type="dxa"/>
            <w:vAlign w:val="center"/>
          </w:tcPr>
          <w:p>
            <w:pPr>
              <w:adjustRightInd w:val="0"/>
              <w:snapToGrid w:val="0"/>
              <w:jc w:val="center"/>
              <w:rPr>
                <w:rFonts w:hint="eastAsia" w:ascii="宋体"/>
                <w:color w:val="auto"/>
                <w:szCs w:val="21"/>
                <w:highlight w:val="none"/>
              </w:rPr>
            </w:pPr>
            <w:r>
              <w:rPr>
                <w:rFonts w:hint="eastAsia" w:ascii="宋体" w:cs="宋体"/>
                <w:color w:val="auto"/>
                <w:kern w:val="0"/>
                <w:szCs w:val="21"/>
                <w:highlight w:val="none"/>
                <w:lang w:val="zh-CN"/>
              </w:rPr>
              <w:t>折合在校生数</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折合在校生数=普通本科生数+专科（高职）生数+硕士生数(全日制+非全日制)*1.5+博士生数*2+留学生本科数*1+留学生硕士生数*1.5+留学生博士生数*2+预科生数+进修生数+成人脱产班学生数+夜大(业余)学生数*0.3+函授生数*0.1</w:t>
            </w:r>
          </w:p>
          <w:p>
            <w:pPr>
              <w:adjustRightInd w:val="0"/>
              <w:snapToGrid w:val="0"/>
              <w:jc w:val="left"/>
              <w:rPr>
                <w:rFonts w:hint="eastAsia" w:ascii="宋体"/>
                <w:color w:val="auto"/>
                <w:szCs w:val="21"/>
                <w:highlight w:val="none"/>
              </w:rPr>
            </w:pPr>
            <w:r>
              <w:rPr>
                <w:rFonts w:hint="eastAsia" w:ascii="宋体" w:cs="??????"/>
                <w:color w:val="auto"/>
                <w:kern w:val="0"/>
                <w:szCs w:val="21"/>
                <w:highlight w:val="none"/>
                <w:lang w:val="zh-CN"/>
              </w:rPr>
              <w:t>（其中，留学生也分别按照本科、硕士、博士分别乘以相应的系数）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tblHeader/>
        </w:trPr>
        <w:tc>
          <w:tcPr>
            <w:tcW w:w="1227" w:type="dxa"/>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五</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教学科研仪器 设备</w:t>
            </w:r>
          </w:p>
        </w:tc>
        <w:tc>
          <w:tcPr>
            <w:tcW w:w="6453" w:type="dxa"/>
            <w:vAlign w:val="center"/>
          </w:tcPr>
          <w:p>
            <w:pPr>
              <w:adjustRightInd w:val="0"/>
              <w:snapToGrid w:val="0"/>
              <w:jc w:val="left"/>
              <w:rPr>
                <w:rFonts w:hint="eastAsia" w:ascii="宋体"/>
                <w:color w:val="auto"/>
                <w:szCs w:val="21"/>
                <w:highlight w:val="none"/>
              </w:rPr>
            </w:pPr>
            <w:r>
              <w:rPr>
                <w:rFonts w:hint="eastAsia" w:ascii="宋体"/>
                <w:color w:val="auto"/>
                <w:szCs w:val="21"/>
                <w:highlight w:val="none"/>
              </w:rPr>
              <w:t>指使用学校预算经费、科研经费、基建经费、校内部门自筹经费购买或接受捐赠的耐用时间在一年以上，单价800元以上的教学科研仪器设备，不含已报废设备。生均教学科研仪器设备值=教学科研仪器设备总值/折合在校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blHeader/>
        </w:trPr>
        <w:tc>
          <w:tcPr>
            <w:tcW w:w="1227" w:type="dxa"/>
            <w:vMerge w:val="restart"/>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六</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纸质图书</w:t>
            </w:r>
          </w:p>
        </w:tc>
        <w:tc>
          <w:tcPr>
            <w:tcW w:w="6453" w:type="dxa"/>
            <w:vAlign w:val="center"/>
          </w:tcPr>
          <w:p>
            <w:pPr>
              <w:adjustRightInd w:val="0"/>
              <w:snapToGrid w:val="0"/>
              <w:jc w:val="left"/>
              <w:rPr>
                <w:rFonts w:hint="eastAsia" w:ascii="宋体"/>
                <w:color w:val="auto"/>
                <w:szCs w:val="21"/>
                <w:highlight w:val="none"/>
              </w:rPr>
            </w:pPr>
            <w:r>
              <w:rPr>
                <w:rFonts w:hint="eastAsia" w:ascii="宋体"/>
                <w:color w:val="auto"/>
                <w:szCs w:val="21"/>
                <w:highlight w:val="none"/>
              </w:rPr>
              <w:t>指学校图书馆及各院系、所资料室拥有的正式出版书籍的册数及已装订成册的过刊，每册过刊算一册书。生均纸质图书=馆藏纸质图书/折合在校生数。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纸质期刊</w:t>
            </w:r>
          </w:p>
        </w:tc>
        <w:tc>
          <w:tcPr>
            <w:tcW w:w="6453" w:type="dxa"/>
            <w:vAlign w:val="center"/>
          </w:tcPr>
          <w:p>
            <w:pPr>
              <w:adjustRightInd w:val="0"/>
              <w:snapToGrid w:val="0"/>
              <w:jc w:val="left"/>
              <w:rPr>
                <w:rFonts w:hint="eastAsia" w:ascii="宋体"/>
                <w:color w:val="auto"/>
                <w:szCs w:val="21"/>
                <w:highlight w:val="none"/>
              </w:rPr>
            </w:pPr>
            <w:r>
              <w:rPr>
                <w:rFonts w:hint="eastAsia" w:ascii="宋体"/>
                <w:color w:val="auto"/>
                <w:szCs w:val="21"/>
                <w:highlight w:val="none"/>
              </w:rPr>
              <w:t>指学校图书馆及各院系、所资料室订阅的当年正式出版的期刊，不包含虽在架上但非当年出版的期刊。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电子图书、期刊</w:t>
            </w:r>
          </w:p>
        </w:tc>
        <w:tc>
          <w:tcPr>
            <w:tcW w:w="6453" w:type="dxa"/>
            <w:vAlign w:val="center"/>
          </w:tcPr>
          <w:p>
            <w:pPr>
              <w:adjustRightInd w:val="0"/>
              <w:snapToGrid w:val="0"/>
              <w:jc w:val="left"/>
              <w:rPr>
                <w:rFonts w:hint="eastAsia" w:ascii="宋体"/>
                <w:color w:val="auto"/>
                <w:szCs w:val="21"/>
                <w:highlight w:val="none"/>
              </w:rPr>
            </w:pPr>
            <w:r>
              <w:rPr>
                <w:rFonts w:hint="eastAsia" w:ascii="宋体"/>
                <w:color w:val="auto"/>
                <w:szCs w:val="21"/>
                <w:highlight w:val="none"/>
              </w:rPr>
              <w:t>指学校图书馆及各院系、所资料室拥有的正式出版的各类光盘、软盘、数据库等电子图书、期刊。生均电子图书、期刊=电子图书、期刊/折合在校生数。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9" w:hRule="exact"/>
          <w:tblHeader/>
        </w:trPr>
        <w:tc>
          <w:tcPr>
            <w:tcW w:w="1227" w:type="dxa"/>
            <w:vMerge w:val="restart"/>
            <w:vAlign w:val="center"/>
          </w:tcPr>
          <w:p>
            <w:pPr>
              <w:jc w:val="center"/>
              <w:rPr>
                <w:rFonts w:hint="eastAsia" w:ascii="宋体"/>
                <w:color w:val="auto"/>
                <w:szCs w:val="21"/>
                <w:highlight w:val="none"/>
              </w:rPr>
            </w:pPr>
            <w:r>
              <w:rPr>
                <w:rFonts w:hint="eastAsia" w:ascii="宋体"/>
                <w:color w:val="auto"/>
                <w:szCs w:val="21"/>
                <w:highlight w:val="none"/>
                <w:lang w:eastAsia="zh-CN"/>
              </w:rPr>
              <w:t>表七</w:t>
            </w:r>
          </w:p>
        </w:tc>
        <w:tc>
          <w:tcPr>
            <w:tcW w:w="1560" w:type="dxa"/>
            <w:vAlign w:val="center"/>
          </w:tcPr>
          <w:p>
            <w:pPr>
              <w:adjustRightInd w:val="0"/>
              <w:snapToGrid w:val="0"/>
              <w:jc w:val="center"/>
              <w:rPr>
                <w:rFonts w:hint="eastAsia" w:ascii="宋体"/>
                <w:color w:val="auto"/>
                <w:szCs w:val="21"/>
                <w:highlight w:val="none"/>
              </w:rPr>
            </w:pPr>
            <w:r>
              <w:rPr>
                <w:rFonts w:hint="eastAsia" w:ascii="宋体" w:cs="宋体"/>
                <w:color w:val="auto"/>
                <w:kern w:val="0"/>
                <w:szCs w:val="21"/>
                <w:highlight w:val="none"/>
                <w:lang w:val="zh-CN"/>
              </w:rPr>
              <w:t>教学行政用房 面积</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教学行政用房面积=教学及辅助用房面积+行政办公用房面积，生均教学行政用房面积=教学行政用房面积/全日制在校生数。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2" w:hRule="exact"/>
          <w:tblHeader/>
        </w:trPr>
        <w:tc>
          <w:tcPr>
            <w:tcW w:w="1227" w:type="dxa"/>
            <w:vMerge w:val="continue"/>
            <w:vAlign w:val="center"/>
          </w:tcPr>
          <w:p>
            <w:pPr>
              <w:rPr>
                <w:rFonts w:hint="eastAsia" w:ascii="宋体"/>
                <w:color w:val="auto"/>
                <w:szCs w:val="21"/>
                <w:highlight w:val="none"/>
                <w:lang w:eastAsia="zh-CN"/>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实验室面积</w:t>
            </w:r>
          </w:p>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（含实习实训及附属用房）</w:t>
            </w:r>
          </w:p>
        </w:tc>
        <w:tc>
          <w:tcPr>
            <w:tcW w:w="6453" w:type="dxa"/>
            <w:vAlign w:val="center"/>
          </w:tcPr>
          <w:p>
            <w:pPr>
              <w:adjustRightInd w:val="0"/>
              <w:snapToGrid w:val="0"/>
              <w:rPr>
                <w:rFonts w:hint="eastAsia" w:ascii="宋体" w:cs="宋体"/>
                <w:color w:val="auto"/>
                <w:kern w:val="0"/>
                <w:szCs w:val="21"/>
                <w:highlight w:val="none"/>
                <w:lang w:val="zh-CN"/>
              </w:rPr>
            </w:pPr>
            <w:r>
              <w:rPr>
                <w:rFonts w:hint="eastAsia" w:ascii="宋体"/>
                <w:color w:val="auto"/>
                <w:szCs w:val="21"/>
                <w:highlight w:val="none"/>
                <w:lang w:val="zh-CN"/>
              </w:rPr>
              <w:t>指面向本科生开放的教学实验室或中心、供教学用的各类实习、实训场所及附属用房。教学实验室或中心名称，以学校正式批准的设立的名称为准。实验室实习场所及附属用房包括基础课、专业基础课、专业课、自选科研项目所需的各种实验室、实习工厂农场、牧场、林场、实验室的附属用房（准备室、天平室、仪器室、标本室、模型室、陈列室、动物室、充电室、空调室、更衣室、实验人员办公室等）、全校公用的计算中心等。个别学校设立的分析测试中心应专案报批，不在本指标之内。专职科研机构的实验室、资料室、生产性工厂农场林场、医学院校的附属医院、师范院校的附中附小幼儿园等均不在本指标之内。实</w:t>
            </w:r>
            <w:r>
              <w:rPr>
                <w:rFonts w:hint="eastAsia" w:ascii="宋体" w:cs="宋体"/>
                <w:color w:val="auto"/>
                <w:kern w:val="0"/>
                <w:szCs w:val="21"/>
                <w:highlight w:val="none"/>
                <w:lang w:val="zh-CN"/>
              </w:rPr>
              <w:t>验室（含实习实训及附属用房）须具有本校产权。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exact"/>
          <w:tblHeader/>
        </w:trPr>
        <w:tc>
          <w:tcPr>
            <w:tcW w:w="1227" w:type="dxa"/>
            <w:vMerge w:val="continue"/>
            <w:vAlign w:val="center"/>
          </w:tcPr>
          <w:p>
            <w:pPr>
              <w:rPr>
                <w:rFonts w:hint="eastAsia" w:ascii="宋体"/>
                <w:color w:val="auto"/>
                <w:szCs w:val="21"/>
                <w:highlight w:val="none"/>
                <w:lang w:eastAsia="zh-CN"/>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生均实验室面积</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生均实验室面积=实验室面积/全日制在校生数。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blHeader/>
        </w:trPr>
        <w:tc>
          <w:tcPr>
            <w:tcW w:w="1227" w:type="dxa"/>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八</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本科教学日常运行支出</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olor w:val="auto"/>
                <w:szCs w:val="21"/>
                <w:highlight w:val="none"/>
              </w:rPr>
              <w:t>参照《教育部办公厅关于开展普通高等学校本科教学工作合格评估的通知》教高厅〔2011〕2号文件，是指学校开展普通本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与表八数据不得重复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九</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本科专项教学经费</w:t>
            </w:r>
          </w:p>
        </w:tc>
        <w:tc>
          <w:tcPr>
            <w:tcW w:w="6453" w:type="dxa"/>
            <w:vAlign w:val="center"/>
          </w:tcPr>
          <w:p>
            <w:pPr>
              <w:adjustRightInd w:val="0"/>
              <w:snapToGrid w:val="0"/>
              <w:jc w:val="left"/>
              <w:rPr>
                <w:rFonts w:hint="eastAsia" w:ascii="宋体"/>
                <w:color w:val="auto"/>
                <w:szCs w:val="21"/>
                <w:highlight w:val="none"/>
              </w:rPr>
            </w:pPr>
            <w:r>
              <w:rPr>
                <w:rFonts w:hint="eastAsia" w:ascii="宋体"/>
                <w:color w:val="auto"/>
                <w:szCs w:val="21"/>
                <w:highlight w:val="none"/>
                <w:lang w:eastAsia="zh-CN"/>
              </w:rPr>
              <w:t>自然年</w:t>
            </w:r>
            <w:r>
              <w:rPr>
                <w:rFonts w:hint="eastAsia" w:ascii="宋体"/>
                <w:color w:val="auto"/>
                <w:szCs w:val="21"/>
                <w:highlight w:val="none"/>
              </w:rPr>
              <w:t>内学校立项用于本科教学改革和建设的专项经费总额（与表七数据不得重复统计）。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exact"/>
          <w:tblHeader/>
        </w:trPr>
        <w:tc>
          <w:tcPr>
            <w:tcW w:w="1227" w:type="dxa"/>
            <w:vMerge w:val="restart"/>
            <w:vAlign w:val="center"/>
          </w:tcPr>
          <w:p>
            <w:pPr>
              <w:adjustRightInd w:val="0"/>
              <w:snapToGrid w:val="0"/>
              <w:jc w:val="center"/>
              <w:rPr>
                <w:rFonts w:hint="eastAsia" w:ascii="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十</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本科实验经费</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olor w:val="auto"/>
                <w:szCs w:val="21"/>
                <w:highlight w:val="none"/>
                <w:lang w:eastAsia="zh-CN"/>
              </w:rPr>
              <w:t>自然年</w:t>
            </w:r>
            <w:r>
              <w:rPr>
                <w:rFonts w:hint="eastAsia" w:ascii="宋体"/>
                <w:color w:val="auto"/>
                <w:szCs w:val="21"/>
                <w:highlight w:val="none"/>
              </w:rPr>
              <w:t>内学校用于实验教学运行及维护经费，生均本科</w:t>
            </w:r>
            <w:r>
              <w:rPr>
                <w:rFonts w:hint="eastAsia" w:ascii="宋体" w:cs="宋体"/>
                <w:color w:val="auto"/>
                <w:kern w:val="0"/>
                <w:szCs w:val="21"/>
                <w:highlight w:val="none"/>
                <w:lang w:val="zh-CN"/>
              </w:rPr>
              <w:t>实验经费=本科实验经费/本科生数。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exact"/>
          <w:tblHeader/>
        </w:trPr>
        <w:tc>
          <w:tcPr>
            <w:tcW w:w="1227" w:type="dxa"/>
            <w:vMerge w:val="continue"/>
            <w:vAlign w:val="center"/>
          </w:tcPr>
          <w:p>
            <w:pPr>
              <w:rPr>
                <w:rFonts w:hint="eastAsia" w:ascii="宋体"/>
                <w:color w:val="auto"/>
                <w:szCs w:val="21"/>
                <w:highlight w:val="none"/>
                <w:lang w:eastAsia="zh-CN"/>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本科实习经费</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olor w:val="auto"/>
                <w:szCs w:val="21"/>
                <w:highlight w:val="none"/>
                <w:lang w:eastAsia="zh-CN"/>
              </w:rPr>
              <w:t>自然年</w:t>
            </w:r>
            <w:r>
              <w:rPr>
                <w:rFonts w:hint="eastAsia" w:ascii="宋体"/>
                <w:color w:val="auto"/>
                <w:szCs w:val="21"/>
                <w:highlight w:val="none"/>
              </w:rPr>
              <w:t>内学校用于本科培养方案内的实习环节支出经费，生均本科</w:t>
            </w:r>
            <w:r>
              <w:rPr>
                <w:rFonts w:hint="eastAsia" w:ascii="宋体" w:cs="宋体"/>
                <w:color w:val="auto"/>
                <w:kern w:val="0"/>
                <w:szCs w:val="21"/>
                <w:highlight w:val="none"/>
                <w:lang w:val="zh-CN"/>
              </w:rPr>
              <w:t>实习经费=本科实习经费/本科生数。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exact"/>
          <w:tblHeader/>
        </w:trPr>
        <w:tc>
          <w:tcPr>
            <w:tcW w:w="1227" w:type="dxa"/>
            <w:vMerge w:val="restart"/>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十一</w:t>
            </w:r>
          </w:p>
        </w:tc>
        <w:tc>
          <w:tcPr>
            <w:tcW w:w="1560"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教授总数</w:t>
            </w:r>
          </w:p>
        </w:tc>
        <w:tc>
          <w:tcPr>
            <w:tcW w:w="6453" w:type="dxa"/>
            <w:vAlign w:val="center"/>
          </w:tcPr>
          <w:p>
            <w:pPr>
              <w:adjustRightInd w:val="0"/>
              <w:snapToGrid w:val="0"/>
              <w:jc w:val="left"/>
              <w:rPr>
                <w:rFonts w:hint="eastAsia" w:ascii="宋体"/>
                <w:color w:val="auto"/>
                <w:szCs w:val="21"/>
                <w:highlight w:val="none"/>
              </w:rPr>
            </w:pPr>
            <w:r>
              <w:rPr>
                <w:rFonts w:hint="eastAsia" w:ascii="宋体" w:cs="宋体"/>
                <w:color w:val="auto"/>
                <w:kern w:val="0"/>
                <w:szCs w:val="21"/>
                <w:highlight w:val="none"/>
                <w:lang w:val="zh-CN"/>
              </w:rPr>
              <w:t>指本</w:t>
            </w:r>
            <w:r>
              <w:rPr>
                <w:rFonts w:hint="eastAsia" w:ascii="宋体" w:cs="宋体"/>
                <w:color w:val="auto"/>
                <w:kern w:val="0"/>
                <w:szCs w:val="21"/>
                <w:highlight w:val="none"/>
                <w:lang w:val="en-US" w:eastAsia="zh-CN"/>
              </w:rPr>
              <w:t>学年</w:t>
            </w:r>
            <w:r>
              <w:rPr>
                <w:rFonts w:hint="eastAsia" w:ascii="宋体" w:cs="宋体"/>
                <w:color w:val="auto"/>
                <w:kern w:val="0"/>
                <w:szCs w:val="21"/>
                <w:highlight w:val="none"/>
                <w:lang w:val="zh-CN"/>
              </w:rPr>
              <w:t>在编的具有教授或相当职称的专任教师人数。（只统计正教授，不含外聘教授）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教授应授课   人数</w:t>
            </w:r>
          </w:p>
        </w:tc>
        <w:tc>
          <w:tcPr>
            <w:tcW w:w="6453" w:type="dxa"/>
            <w:vAlign w:val="center"/>
          </w:tcPr>
          <w:p>
            <w:pPr>
              <w:adjustRightInd w:val="0"/>
              <w:snapToGrid w:val="0"/>
              <w:jc w:val="left"/>
              <w:rPr>
                <w:rFonts w:hint="eastAsia" w:ascii="宋体"/>
                <w:color w:val="auto"/>
                <w:szCs w:val="21"/>
                <w:highlight w:val="none"/>
              </w:rPr>
            </w:pPr>
            <w:r>
              <w:rPr>
                <w:rFonts w:hint="eastAsia" w:ascii="宋体" w:cs="宋体"/>
                <w:color w:val="auto"/>
                <w:kern w:val="0"/>
                <w:szCs w:val="21"/>
                <w:highlight w:val="none"/>
                <w:lang w:val="zh-CN"/>
              </w:rPr>
              <w:t>指本</w:t>
            </w:r>
            <w:r>
              <w:rPr>
                <w:rFonts w:hint="eastAsia" w:ascii="宋体" w:cs="宋体"/>
                <w:color w:val="auto"/>
                <w:kern w:val="0"/>
                <w:szCs w:val="21"/>
                <w:highlight w:val="none"/>
                <w:lang w:val="en-US" w:eastAsia="zh-CN"/>
              </w:rPr>
              <w:t>学年</w:t>
            </w:r>
            <w:r>
              <w:rPr>
                <w:rFonts w:hint="eastAsia" w:ascii="宋体" w:cs="宋体"/>
                <w:color w:val="auto"/>
                <w:kern w:val="0"/>
                <w:szCs w:val="21"/>
                <w:highlight w:val="none"/>
                <w:lang w:val="zh-CN"/>
              </w:rPr>
              <w:t>在编在岗的具有教授或相当职称的专任教师人数，不包含在外上学、研修，病休等教师。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olor w:val="auto"/>
                <w:szCs w:val="21"/>
                <w:highlight w:val="none"/>
              </w:rPr>
            </w:pPr>
            <w:r>
              <w:rPr>
                <w:rFonts w:hint="eastAsia" w:ascii="宋体" w:cs="宋体"/>
                <w:color w:val="auto"/>
                <w:kern w:val="0"/>
                <w:szCs w:val="21"/>
                <w:highlight w:val="none"/>
                <w:lang w:val="zh-CN"/>
              </w:rPr>
              <w:t>教授实际授课人数</w:t>
            </w:r>
          </w:p>
        </w:tc>
        <w:tc>
          <w:tcPr>
            <w:tcW w:w="6453" w:type="dxa"/>
            <w:vAlign w:val="center"/>
          </w:tcPr>
          <w:p>
            <w:pPr>
              <w:adjustRightInd w:val="0"/>
              <w:snapToGrid w:val="0"/>
              <w:jc w:val="left"/>
              <w:rPr>
                <w:rFonts w:hint="eastAsia" w:ascii="宋体"/>
                <w:color w:val="auto"/>
                <w:szCs w:val="21"/>
                <w:highlight w:val="none"/>
              </w:rPr>
            </w:pPr>
            <w:r>
              <w:rPr>
                <w:rFonts w:hint="eastAsia" w:ascii="宋体" w:cs="宋体"/>
                <w:color w:val="auto"/>
                <w:kern w:val="0"/>
                <w:szCs w:val="21"/>
                <w:highlight w:val="none"/>
                <w:lang w:val="zh-CN"/>
              </w:rPr>
              <w:t>指本</w:t>
            </w:r>
            <w:r>
              <w:rPr>
                <w:rFonts w:hint="eastAsia" w:ascii="宋体" w:cs="宋体"/>
                <w:color w:val="auto"/>
                <w:kern w:val="0"/>
                <w:szCs w:val="21"/>
                <w:highlight w:val="none"/>
                <w:lang w:val="en-US" w:eastAsia="zh-CN"/>
              </w:rPr>
              <w:t>学年</w:t>
            </w:r>
            <w:r>
              <w:rPr>
                <w:rFonts w:hint="eastAsia" w:ascii="宋体" w:cs="宋体"/>
                <w:color w:val="auto"/>
                <w:kern w:val="0"/>
                <w:szCs w:val="21"/>
                <w:highlight w:val="none"/>
                <w:lang w:val="zh-CN"/>
              </w:rPr>
              <w:t>在编在岗的具有教授或相当职称，为本科生讲授一门及以上课程的专任教师人数，不含讲座、指导毕业设计（论文）及实践教学的教师。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restart"/>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w:t>
            </w:r>
            <w:r>
              <w:rPr>
                <w:rFonts w:hint="eastAsia" w:ascii="宋体"/>
                <w:color w:val="auto"/>
                <w:szCs w:val="21"/>
                <w:highlight w:val="none"/>
                <w:lang w:eastAsia="zh-CN"/>
              </w:rPr>
              <w:t>十二</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本科课程    总门数</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指</w:t>
            </w:r>
            <w:r>
              <w:rPr>
                <w:rFonts w:hint="eastAsia" w:ascii="宋体" w:cs="宋体"/>
                <w:color w:val="auto"/>
                <w:kern w:val="0"/>
                <w:szCs w:val="21"/>
                <w:highlight w:val="none"/>
                <w:lang w:val="en-US" w:eastAsia="zh-CN"/>
              </w:rPr>
              <w:t>学年</w:t>
            </w:r>
            <w:r>
              <w:rPr>
                <w:rFonts w:hint="eastAsia" w:ascii="宋体" w:cs="宋体"/>
                <w:color w:val="auto"/>
                <w:kern w:val="0"/>
                <w:szCs w:val="21"/>
                <w:highlight w:val="none"/>
                <w:lang w:val="zh-CN"/>
              </w:rPr>
              <w:t>内实际开设的本科培养计划内课程总数，跨学期讲授的同一门课程计</w:t>
            </w:r>
            <w:r>
              <w:rPr>
                <w:rFonts w:hint="eastAsia" w:ascii="宋体" w:cs="宋体"/>
                <w:color w:val="auto"/>
                <w:kern w:val="0"/>
                <w:szCs w:val="21"/>
                <w:highlight w:val="none"/>
                <w:lang w:val="en-US" w:eastAsia="zh-CN"/>
              </w:rPr>
              <w:t>1</w:t>
            </w:r>
            <w:r>
              <w:rPr>
                <w:rFonts w:hint="eastAsia" w:ascii="宋体" w:cs="宋体"/>
                <w:color w:val="auto"/>
                <w:kern w:val="0"/>
                <w:szCs w:val="21"/>
                <w:highlight w:val="none"/>
                <w:lang w:val="zh-CN"/>
              </w:rPr>
              <w:t>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本科课程    总门次数</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指</w:t>
            </w:r>
            <w:r>
              <w:rPr>
                <w:rFonts w:hint="eastAsia" w:ascii="宋体" w:cs="宋体"/>
                <w:color w:val="auto"/>
                <w:kern w:val="0"/>
                <w:szCs w:val="21"/>
                <w:highlight w:val="none"/>
                <w:lang w:val="en-US" w:eastAsia="zh-CN"/>
              </w:rPr>
              <w:t>一学年</w:t>
            </w:r>
            <w:r>
              <w:rPr>
                <w:rFonts w:hint="eastAsia" w:ascii="宋体" w:cs="宋体"/>
                <w:color w:val="auto"/>
                <w:kern w:val="0"/>
                <w:szCs w:val="21"/>
                <w:highlight w:val="none"/>
                <w:lang w:val="zh-CN"/>
              </w:rPr>
              <w:t>内实际开设的本科培养计划内课程总门次数（累计次数总和）。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color w:val="auto"/>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教授授本科  课程门次数</w:t>
            </w:r>
          </w:p>
        </w:tc>
        <w:tc>
          <w:tcPr>
            <w:tcW w:w="6453" w:type="dxa"/>
            <w:vAlign w:val="center"/>
          </w:tcPr>
          <w:p>
            <w:pPr>
              <w:adjustRightInd w:val="0"/>
              <w:snapToGrid w:val="0"/>
              <w:jc w:val="left"/>
              <w:rPr>
                <w:rFonts w:hint="eastAsia" w:ascii="宋体" w:cs="宋体"/>
                <w:color w:val="auto"/>
                <w:kern w:val="0"/>
                <w:szCs w:val="21"/>
                <w:highlight w:val="none"/>
                <w:lang w:val="zh-CN"/>
              </w:rPr>
            </w:pPr>
            <w:r>
              <w:rPr>
                <w:rFonts w:hint="eastAsia" w:ascii="宋体" w:cs="宋体"/>
                <w:color w:val="auto"/>
                <w:kern w:val="0"/>
                <w:szCs w:val="21"/>
                <w:highlight w:val="none"/>
                <w:lang w:val="zh-CN"/>
              </w:rPr>
              <w:t>教授参与授课的课程门次数。一门课程的全部课时均由教授授课，记为1，有多名教师共同承担的，按教授实际承担课时比例计算。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blHeader/>
        </w:trPr>
        <w:tc>
          <w:tcPr>
            <w:tcW w:w="1227" w:type="dxa"/>
            <w:vMerge w:val="restart"/>
            <w:vAlign w:val="center"/>
          </w:tcPr>
          <w:p>
            <w:pPr>
              <w:adjustRightInd w:val="0"/>
              <w:snapToGrid w:val="0"/>
              <w:jc w:val="center"/>
              <w:rPr>
                <w:rFonts w:hint="eastAsia" w:ascii="宋体" w:eastAsia="宋体"/>
                <w:color w:val="auto"/>
                <w:szCs w:val="21"/>
                <w:highlight w:val="none"/>
                <w:lang w:eastAsia="zh-CN"/>
              </w:rPr>
            </w:pPr>
            <w:r>
              <w:rPr>
                <w:rFonts w:hint="eastAsia" w:ascii="宋体"/>
                <w:color w:val="auto"/>
                <w:szCs w:val="21"/>
                <w:highlight w:val="none"/>
              </w:rPr>
              <w:t>表十</w:t>
            </w:r>
            <w:r>
              <w:rPr>
                <w:rFonts w:hint="eastAsia" w:ascii="宋体"/>
                <w:color w:val="auto"/>
                <w:szCs w:val="21"/>
                <w:highlight w:val="none"/>
                <w:lang w:eastAsia="zh-CN"/>
              </w:rPr>
              <w:t>三</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学科门类</w:t>
            </w:r>
          </w:p>
        </w:tc>
        <w:tc>
          <w:tcPr>
            <w:tcW w:w="6453" w:type="dxa"/>
            <w:vAlign w:val="center"/>
          </w:tcPr>
          <w:p>
            <w:pPr>
              <w:adjustRightInd w:val="0"/>
              <w:snapToGrid w:val="0"/>
              <w:jc w:val="left"/>
              <w:rPr>
                <w:rFonts w:hint="default" w:ascii="宋体" w:eastAsia="宋体" w:cs="宋体"/>
                <w:color w:val="auto"/>
                <w:kern w:val="0"/>
                <w:szCs w:val="21"/>
                <w:highlight w:val="none"/>
                <w:lang w:val="en-US" w:eastAsia="zh-CN"/>
              </w:rPr>
            </w:pPr>
            <w:r>
              <w:rPr>
                <w:rFonts w:hint="eastAsia"/>
                <w:color w:val="auto"/>
                <w:highlight w:val="none"/>
                <w:lang w:eastAsia="zh-CN"/>
              </w:rPr>
              <w:t>按照《普通高等学校本科专业目录（</w:t>
            </w:r>
            <w:r>
              <w:rPr>
                <w:rFonts w:hint="eastAsia"/>
                <w:color w:val="auto"/>
                <w:highlight w:val="none"/>
                <w:lang w:val="en-US" w:eastAsia="zh-CN"/>
              </w:rPr>
              <w:t>2012年）》12个学科门类填写。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rFonts w:hint="eastAsia" w:ascii="宋体" w:eastAsia="宋体"/>
                <w:color w:val="auto"/>
                <w:szCs w:val="21"/>
                <w:highlight w:val="none"/>
                <w:lang w:eastAsia="zh-CN"/>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总学分</w:t>
            </w:r>
          </w:p>
        </w:tc>
        <w:tc>
          <w:tcPr>
            <w:tcW w:w="6453" w:type="dxa"/>
            <w:vAlign w:val="center"/>
          </w:tcPr>
          <w:p>
            <w:pPr>
              <w:adjustRightInd w:val="0"/>
              <w:snapToGrid w:val="0"/>
              <w:jc w:val="left"/>
              <w:rPr>
                <w:rFonts w:hint="eastAsia" w:ascii="宋体"/>
                <w:color w:val="auto"/>
                <w:szCs w:val="21"/>
                <w:highlight w:val="none"/>
              </w:rPr>
            </w:pPr>
            <w:r>
              <w:rPr>
                <w:rFonts w:hint="eastAsia"/>
                <w:color w:val="auto"/>
                <w:highlight w:val="none"/>
              </w:rPr>
              <w:t>指同一学科门类中各专业平均学分。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rFonts w:hint="eastAsia" w:ascii="宋体"/>
                <w:color w:val="auto"/>
                <w:szCs w:val="21"/>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实践教学学分、选修课学分</w:t>
            </w:r>
          </w:p>
        </w:tc>
        <w:tc>
          <w:tcPr>
            <w:tcW w:w="6453" w:type="dxa"/>
            <w:vAlign w:val="center"/>
          </w:tcPr>
          <w:p>
            <w:pPr>
              <w:adjustRightInd w:val="0"/>
              <w:snapToGrid w:val="0"/>
              <w:jc w:val="left"/>
              <w:rPr>
                <w:rFonts w:hint="eastAsia" w:ascii="宋体"/>
                <w:color w:val="auto"/>
                <w:szCs w:val="21"/>
                <w:highlight w:val="none"/>
              </w:rPr>
            </w:pPr>
            <w:r>
              <w:rPr>
                <w:rFonts w:hint="eastAsia"/>
                <w:color w:val="auto"/>
                <w:highlight w:val="none"/>
              </w:rPr>
              <w:t>指同一学科门类中各专业</w:t>
            </w:r>
            <w:r>
              <w:rPr>
                <w:rFonts w:hint="eastAsia" w:ascii="宋体" w:cs="宋体"/>
                <w:color w:val="auto"/>
                <w:kern w:val="0"/>
                <w:szCs w:val="21"/>
                <w:highlight w:val="none"/>
                <w:lang w:val="zh-CN"/>
              </w:rPr>
              <w:t>教学计划实际执行</w:t>
            </w:r>
            <w:r>
              <w:rPr>
                <w:rFonts w:hint="eastAsia"/>
                <w:color w:val="auto"/>
                <w:highlight w:val="none"/>
              </w:rPr>
              <w:t>平均实践教学学分、选修课</w:t>
            </w:r>
            <w:r>
              <w:rPr>
                <w:rFonts w:hint="eastAsia" w:ascii="宋体" w:cs="宋体"/>
                <w:color w:val="auto"/>
                <w:kern w:val="0"/>
                <w:szCs w:val="21"/>
                <w:highlight w:val="none"/>
                <w:lang w:val="zh-CN"/>
              </w:rPr>
              <w:t>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restart"/>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表十</w:t>
            </w:r>
            <w:r>
              <w:rPr>
                <w:rFonts w:hint="eastAsia" w:ascii="宋体"/>
                <w:color w:val="auto"/>
                <w:szCs w:val="21"/>
                <w:highlight w:val="none"/>
                <w:lang w:eastAsia="zh-CN"/>
              </w:rPr>
              <w:t>五</w:t>
            </w:r>
            <w:r>
              <w:rPr>
                <w:rFonts w:hint="eastAsia" w:ascii="宋体"/>
                <w:color w:val="auto"/>
                <w:szCs w:val="21"/>
                <w:highlight w:val="none"/>
              </w:rPr>
              <w:t>、十</w:t>
            </w:r>
            <w:r>
              <w:rPr>
                <w:rFonts w:hint="eastAsia" w:ascii="宋体"/>
                <w:color w:val="auto"/>
                <w:szCs w:val="21"/>
                <w:highlight w:val="none"/>
                <w:lang w:eastAsia="zh-CN"/>
              </w:rPr>
              <w:t>六</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毕业率</w:t>
            </w:r>
          </w:p>
        </w:tc>
        <w:tc>
          <w:tcPr>
            <w:tcW w:w="6453" w:type="dxa"/>
            <w:vAlign w:val="center"/>
          </w:tcPr>
          <w:p>
            <w:pPr>
              <w:autoSpaceDE w:val="0"/>
              <w:autoSpaceDN w:val="0"/>
              <w:adjustRightInd w:val="0"/>
              <w:snapToGrid w:val="0"/>
              <w:jc w:val="left"/>
              <w:rPr>
                <w:rFonts w:hint="eastAsia"/>
                <w:color w:val="auto"/>
                <w:highlight w:val="none"/>
              </w:rPr>
            </w:pPr>
            <w:r>
              <w:rPr>
                <w:rFonts w:hint="eastAsia" w:ascii="宋体" w:cs="宋体"/>
                <w:color w:val="auto"/>
                <w:kern w:val="0"/>
                <w:szCs w:val="21"/>
                <w:highlight w:val="none"/>
                <w:lang w:val="zh-CN"/>
              </w:rPr>
              <w:t>毕业率=应届毕业生数/预计应届毕业生数×100%，按专业填报。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rFonts w:hint="eastAsia" w:ascii="宋体"/>
                <w:color w:val="auto"/>
                <w:szCs w:val="21"/>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学位授予率</w:t>
            </w:r>
          </w:p>
        </w:tc>
        <w:tc>
          <w:tcPr>
            <w:tcW w:w="6453" w:type="dxa"/>
            <w:vAlign w:val="center"/>
          </w:tcPr>
          <w:p>
            <w:pPr>
              <w:autoSpaceDE w:val="0"/>
              <w:autoSpaceDN w:val="0"/>
              <w:adjustRightInd w:val="0"/>
              <w:snapToGrid w:val="0"/>
              <w:jc w:val="left"/>
              <w:rPr>
                <w:rFonts w:hint="eastAsia"/>
                <w:color w:val="auto"/>
                <w:highlight w:val="none"/>
              </w:rPr>
            </w:pPr>
            <w:r>
              <w:rPr>
                <w:rFonts w:hint="eastAsia" w:ascii="宋体" w:cs="宋体"/>
                <w:color w:val="auto"/>
                <w:kern w:val="0"/>
                <w:szCs w:val="21"/>
                <w:highlight w:val="none"/>
                <w:lang w:val="zh-CN"/>
              </w:rPr>
              <w:t>学位授予率=授予学位人数/应届毕业生数×100%，按专业填报。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rFonts w:hint="eastAsia" w:ascii="宋体"/>
                <w:color w:val="auto"/>
                <w:szCs w:val="21"/>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初次就业率</w:t>
            </w:r>
          </w:p>
        </w:tc>
        <w:tc>
          <w:tcPr>
            <w:tcW w:w="6453" w:type="dxa"/>
            <w:vAlign w:val="center"/>
          </w:tcPr>
          <w:p>
            <w:pPr>
              <w:autoSpaceDE w:val="0"/>
              <w:autoSpaceDN w:val="0"/>
              <w:adjustRightInd w:val="0"/>
              <w:snapToGrid w:val="0"/>
              <w:jc w:val="left"/>
              <w:rPr>
                <w:rFonts w:hint="eastAsia"/>
                <w:color w:val="auto"/>
                <w:highlight w:val="none"/>
              </w:rPr>
            </w:pPr>
            <w:r>
              <w:rPr>
                <w:rFonts w:hint="eastAsia" w:ascii="宋体" w:cs="宋体"/>
                <w:color w:val="auto"/>
                <w:kern w:val="0"/>
                <w:szCs w:val="21"/>
                <w:highlight w:val="none"/>
                <w:lang w:val="zh-CN"/>
              </w:rPr>
              <w:t>初次就业率=应届毕业生的就业人数/应届毕业生数×100%，按专业填报，统计初次就业率，时间截至20</w:t>
            </w:r>
            <w:r>
              <w:rPr>
                <w:rFonts w:hint="eastAsia" w:ascii="宋体" w:cs="宋体"/>
                <w:color w:val="auto"/>
                <w:kern w:val="0"/>
                <w:szCs w:val="21"/>
                <w:highlight w:val="none"/>
                <w:lang w:val="en-US" w:eastAsia="zh-CN"/>
              </w:rPr>
              <w:t>20</w:t>
            </w:r>
            <w:r>
              <w:rPr>
                <w:rFonts w:hint="eastAsia" w:ascii="宋体" w:cs="宋体"/>
                <w:color w:val="auto"/>
                <w:kern w:val="0"/>
                <w:szCs w:val="21"/>
                <w:highlight w:val="none"/>
                <w:lang w:val="zh-CN"/>
              </w:rPr>
              <w:t>年</w:t>
            </w:r>
            <w:r>
              <w:rPr>
                <w:rFonts w:hint="eastAsia" w:ascii="宋体" w:cs="宋体"/>
                <w:color w:val="auto"/>
                <w:kern w:val="0"/>
                <w:szCs w:val="21"/>
                <w:highlight w:val="none"/>
                <w:lang w:val="en-US" w:eastAsia="zh-CN"/>
              </w:rPr>
              <w:t>8</w:t>
            </w:r>
            <w:r>
              <w:rPr>
                <w:rFonts w:hint="eastAsia" w:ascii="宋体" w:cs="宋体"/>
                <w:color w:val="auto"/>
                <w:kern w:val="0"/>
                <w:szCs w:val="21"/>
                <w:highlight w:val="none"/>
                <w:lang w:val="zh-CN"/>
              </w:rPr>
              <w:t>月</w:t>
            </w:r>
            <w:r>
              <w:rPr>
                <w:rFonts w:hint="eastAsia" w:ascii="宋体" w:cs="宋体"/>
                <w:color w:val="auto"/>
                <w:kern w:val="0"/>
                <w:szCs w:val="21"/>
                <w:highlight w:val="none"/>
                <w:lang w:val="en-US" w:eastAsia="zh-CN"/>
              </w:rPr>
              <w:t>3</w:t>
            </w:r>
            <w:r>
              <w:rPr>
                <w:rFonts w:hint="eastAsia" w:ascii="宋体" w:cs="宋体"/>
                <w:color w:val="auto"/>
                <w:kern w:val="0"/>
                <w:szCs w:val="21"/>
                <w:highlight w:val="none"/>
                <w:lang w:val="zh-CN"/>
              </w:rPr>
              <w:t>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Merge w:val="continue"/>
            <w:vAlign w:val="center"/>
          </w:tcPr>
          <w:p>
            <w:pPr>
              <w:rPr>
                <w:rFonts w:hint="eastAsia" w:ascii="宋体"/>
                <w:color w:val="auto"/>
                <w:szCs w:val="21"/>
                <w:highlight w:val="none"/>
              </w:rPr>
            </w:pP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olor w:val="auto"/>
                <w:szCs w:val="21"/>
                <w:highlight w:val="none"/>
              </w:rPr>
              <w:t>攻读研究生   比例</w:t>
            </w:r>
          </w:p>
        </w:tc>
        <w:tc>
          <w:tcPr>
            <w:tcW w:w="6453" w:type="dxa"/>
            <w:vAlign w:val="center"/>
          </w:tcPr>
          <w:p>
            <w:pPr>
              <w:autoSpaceDE w:val="0"/>
              <w:autoSpaceDN w:val="0"/>
              <w:adjustRightInd w:val="0"/>
              <w:snapToGrid w:val="0"/>
              <w:ind w:right="44" w:rightChars="21"/>
              <w:jc w:val="left"/>
              <w:rPr>
                <w:rFonts w:hint="eastAsia"/>
                <w:color w:val="auto"/>
                <w:highlight w:val="none"/>
              </w:rPr>
            </w:pPr>
            <w:r>
              <w:rPr>
                <w:rFonts w:hint="eastAsia" w:ascii="宋体" w:cs="宋体"/>
                <w:color w:val="auto"/>
                <w:kern w:val="0"/>
                <w:szCs w:val="21"/>
                <w:highlight w:val="none"/>
                <w:lang w:val="zh-CN"/>
              </w:rPr>
              <w:t>应届毕业生的研究生录取人数/应届毕业生数×100%，按专业填报。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rPr>
              <w:t>表十</w:t>
            </w:r>
            <w:r>
              <w:rPr>
                <w:rFonts w:hint="eastAsia" w:ascii="宋体"/>
                <w:color w:val="auto"/>
                <w:szCs w:val="21"/>
                <w:highlight w:val="none"/>
                <w:lang w:eastAsia="zh-CN"/>
              </w:rPr>
              <w:t>八</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毕业生大学四、六级英语通过率</w:t>
            </w:r>
          </w:p>
        </w:tc>
        <w:tc>
          <w:tcPr>
            <w:tcW w:w="6453" w:type="dxa"/>
            <w:vAlign w:val="center"/>
          </w:tcPr>
          <w:p>
            <w:pPr>
              <w:autoSpaceDE w:val="0"/>
              <w:autoSpaceDN w:val="0"/>
              <w:adjustRightInd w:val="0"/>
              <w:snapToGrid w:val="0"/>
              <w:jc w:val="left"/>
              <w:rPr>
                <w:rFonts w:hint="eastAsia"/>
                <w:color w:val="auto"/>
                <w:highlight w:val="none"/>
              </w:rPr>
            </w:pPr>
            <w:r>
              <w:rPr>
                <w:rFonts w:hint="eastAsia" w:ascii="宋体" w:cs="宋体"/>
                <w:color w:val="auto"/>
                <w:kern w:val="0"/>
                <w:szCs w:val="21"/>
                <w:highlight w:val="none"/>
                <w:lang w:val="zh-CN"/>
              </w:rPr>
              <w:t>统计不含小语种及外语、艺术、体育等专业学生。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227" w:type="dxa"/>
            <w:vAlign w:val="center"/>
          </w:tcPr>
          <w:p>
            <w:pPr>
              <w:adjustRightInd w:val="0"/>
              <w:snapToGrid w:val="0"/>
              <w:jc w:val="center"/>
              <w:rPr>
                <w:rFonts w:hint="eastAsia" w:ascii="宋体"/>
                <w:color w:val="auto"/>
                <w:szCs w:val="21"/>
                <w:highlight w:val="none"/>
              </w:rPr>
            </w:pPr>
            <w:r>
              <w:rPr>
                <w:rFonts w:hint="eastAsia" w:ascii="宋体"/>
                <w:color w:val="auto"/>
                <w:szCs w:val="21"/>
                <w:highlight w:val="none"/>
                <w:lang w:eastAsia="zh-CN"/>
              </w:rPr>
              <w:t>其他注意事项</w:t>
            </w:r>
          </w:p>
        </w:tc>
        <w:tc>
          <w:tcPr>
            <w:tcW w:w="1560" w:type="dxa"/>
            <w:vAlign w:val="center"/>
          </w:tcPr>
          <w:p>
            <w:pPr>
              <w:adjustRightInd w:val="0"/>
              <w:snapToGrid w:val="0"/>
              <w:jc w:val="center"/>
              <w:rPr>
                <w:rFonts w:hint="eastAsia" w:ascii="宋体" w:cs="宋体"/>
                <w:color w:val="auto"/>
                <w:kern w:val="0"/>
                <w:szCs w:val="21"/>
                <w:highlight w:val="none"/>
                <w:lang w:val="zh-CN"/>
              </w:rPr>
            </w:pPr>
            <w:r>
              <w:rPr>
                <w:rFonts w:hint="eastAsia" w:ascii="宋体" w:cs="宋体"/>
                <w:color w:val="auto"/>
                <w:kern w:val="0"/>
                <w:szCs w:val="21"/>
                <w:highlight w:val="none"/>
                <w:lang w:val="zh-CN"/>
              </w:rPr>
              <w:t>专业名称、专业代码、授予学位</w:t>
            </w:r>
          </w:p>
        </w:tc>
        <w:tc>
          <w:tcPr>
            <w:tcW w:w="6453" w:type="dxa"/>
            <w:vAlign w:val="center"/>
          </w:tcPr>
          <w:p>
            <w:pPr>
              <w:autoSpaceDE w:val="0"/>
              <w:autoSpaceDN w:val="0"/>
              <w:adjustRightInd w:val="0"/>
              <w:snapToGrid w:val="0"/>
              <w:jc w:val="left"/>
              <w:rPr>
                <w:rFonts w:hint="eastAsia"/>
                <w:color w:val="auto"/>
                <w:highlight w:val="none"/>
              </w:rPr>
            </w:pPr>
            <w:r>
              <w:rPr>
                <w:rFonts w:hint="eastAsia" w:ascii="宋体" w:cs="宋体"/>
                <w:color w:val="auto"/>
                <w:kern w:val="0"/>
                <w:szCs w:val="21"/>
                <w:highlight w:val="none"/>
                <w:lang w:val="zh-CN"/>
              </w:rPr>
              <w:t>按照教育部201</w:t>
            </w:r>
            <w:r>
              <w:rPr>
                <w:rFonts w:hint="eastAsia" w:ascii="宋体" w:cs="宋体"/>
                <w:color w:val="auto"/>
                <w:kern w:val="0"/>
                <w:szCs w:val="21"/>
                <w:highlight w:val="none"/>
              </w:rPr>
              <w:t>2</w:t>
            </w:r>
            <w:r>
              <w:rPr>
                <w:rFonts w:hint="eastAsia" w:ascii="宋体" w:cs="宋体"/>
                <w:color w:val="auto"/>
                <w:kern w:val="0"/>
                <w:szCs w:val="21"/>
                <w:highlight w:val="none"/>
                <w:lang w:val="zh-CN"/>
              </w:rPr>
              <w:t>年本科专业目录填写。</w:t>
            </w:r>
          </w:p>
        </w:tc>
      </w:tr>
    </w:tbl>
    <w:p>
      <w:pPr>
        <w:jc w:val="center"/>
        <w:rPr>
          <w:rFonts w:hint="eastAsia" w:ascii="楷体" w:eastAsia="楷体"/>
          <w:color w:val="auto"/>
          <w:sz w:val="20"/>
          <w:szCs w:val="20"/>
          <w:highlight w:val="none"/>
        </w:rPr>
      </w:pPr>
    </w:p>
    <w:p>
      <w:pPr>
        <w:jc w:val="center"/>
        <w:rPr>
          <w:rFonts w:hint="eastAsia" w:ascii="楷体" w:eastAsia="楷体"/>
          <w:color w:val="auto"/>
          <w:highlight w:val="none"/>
        </w:rPr>
      </w:pPr>
    </w:p>
    <w:p>
      <w:pPr>
        <w:jc w:val="center"/>
        <w:rPr>
          <w:rFonts w:hint="eastAsia" w:ascii="楷体" w:eastAsia="楷体"/>
          <w:color w:val="auto"/>
          <w:highlight w:val="none"/>
        </w:rPr>
      </w:pPr>
    </w:p>
    <w:p>
      <w:pPr>
        <w:jc w:val="center"/>
        <w:rPr>
          <w:rFonts w:hint="eastAsia" w:ascii="楷体" w:eastAsia="楷体"/>
          <w:color w:val="auto"/>
          <w:highlight w:val="none"/>
        </w:rPr>
      </w:pPr>
    </w:p>
    <w:p>
      <w:pPr>
        <w:autoSpaceDE w:val="0"/>
        <w:autoSpaceDN w:val="0"/>
        <w:adjustRightInd w:val="0"/>
        <w:snapToGrid w:val="0"/>
        <w:spacing w:line="520" w:lineRule="atLeast"/>
        <w:jc w:val="center"/>
        <w:rPr>
          <w:rFonts w:hint="eastAsia" w:ascii="宋体" w:cs="宋体"/>
          <w:b/>
          <w:color w:val="auto"/>
          <w:kern w:val="0"/>
          <w:sz w:val="32"/>
          <w:szCs w:val="32"/>
          <w:highlight w:val="none"/>
        </w:rPr>
      </w:pPr>
    </w:p>
    <w:p>
      <w:pPr>
        <w:autoSpaceDE w:val="0"/>
        <w:autoSpaceDN w:val="0"/>
        <w:adjustRightInd w:val="0"/>
        <w:rPr>
          <w:rFonts w:hint="eastAsia" w:ascii="楷体_GB2312" w:eastAsia="楷体_GB2312" w:cs="黑体"/>
          <w:color w:val="auto"/>
          <w:kern w:val="0"/>
          <w:sz w:val="28"/>
          <w:szCs w:val="28"/>
          <w:highlight w:val="none"/>
          <w:lang w:val="zh-CN"/>
        </w:rPr>
      </w:pPr>
      <w:r>
        <w:rPr>
          <w:rFonts w:hint="eastAsia" w:ascii="楷体_GB2312" w:eastAsia="楷体_GB2312" w:cs="黑体"/>
          <w:color w:val="auto"/>
          <w:kern w:val="0"/>
          <w:sz w:val="28"/>
          <w:szCs w:val="28"/>
          <w:highlight w:val="none"/>
          <w:lang w:val="zh-CN"/>
        </w:rPr>
        <w:br w:type="page"/>
      </w:r>
      <w:r>
        <w:rPr>
          <w:rFonts w:hint="eastAsia" w:ascii="楷体_GB2312" w:eastAsia="楷体_GB2312" w:cs="黑体"/>
          <w:color w:val="auto"/>
          <w:kern w:val="0"/>
          <w:sz w:val="28"/>
          <w:szCs w:val="28"/>
          <w:highlight w:val="none"/>
          <w:lang w:val="zh-CN"/>
        </w:rPr>
        <w:t>附件3-3</w:t>
      </w:r>
    </w:p>
    <w:p>
      <w:pPr>
        <w:autoSpaceDE w:val="0"/>
        <w:autoSpaceDN w:val="0"/>
        <w:adjustRightInd w:val="0"/>
        <w:spacing w:before="240" w:beforeLines="100" w:after="120" w:afterLines="50"/>
        <w:jc w:val="center"/>
        <w:rPr>
          <w:rFonts w:hint="eastAsia" w:ascii="黑体" w:eastAsia="黑体" w:cs="黑体"/>
          <w:b/>
          <w:color w:val="auto"/>
          <w:kern w:val="0"/>
          <w:sz w:val="30"/>
          <w:szCs w:val="30"/>
          <w:highlight w:val="none"/>
          <w:lang w:val="zh-CN"/>
        </w:rPr>
      </w:pPr>
      <w:r>
        <w:rPr>
          <w:rFonts w:hint="eastAsia" w:ascii="宋体" w:cs="黑体"/>
          <w:b/>
          <w:color w:val="auto"/>
          <w:kern w:val="0"/>
          <w:sz w:val="30"/>
          <w:szCs w:val="30"/>
          <w:highlight w:val="none"/>
          <w:u w:val="single"/>
          <w:lang w:val="zh-CN"/>
        </w:rPr>
        <w:t xml:space="preserve">              </w:t>
      </w:r>
      <w:r>
        <w:rPr>
          <w:rFonts w:hint="eastAsia" w:ascii="宋体" w:cs="黑体"/>
          <w:b/>
          <w:color w:val="auto"/>
          <w:kern w:val="0"/>
          <w:sz w:val="30"/>
          <w:szCs w:val="30"/>
          <w:highlight w:val="none"/>
          <w:lang w:val="zh-CN"/>
        </w:rPr>
        <w:t>大学（学院）质量工程项目汇总表</w:t>
      </w:r>
    </w:p>
    <w:tbl>
      <w:tblPr>
        <w:tblStyle w:val="5"/>
        <w:tblW w:w="9240" w:type="dxa"/>
        <w:tblInd w:w="3"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3465"/>
        <w:gridCol w:w="1442"/>
        <w:gridCol w:w="1455"/>
        <w:gridCol w:w="1442"/>
        <w:gridCol w:w="143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vMerge w:val="restart"/>
            <w:shd w:val="clear" w:color="auto" w:fill="auto"/>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项目类型</w:t>
            </w:r>
          </w:p>
        </w:tc>
        <w:tc>
          <w:tcPr>
            <w:tcW w:w="2897" w:type="dxa"/>
            <w:gridSpan w:val="2"/>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自治区级（省部级）</w:t>
            </w:r>
          </w:p>
        </w:tc>
        <w:tc>
          <w:tcPr>
            <w:tcW w:w="2878" w:type="dxa"/>
            <w:gridSpan w:val="2"/>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国家级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vMerge w:val="continue"/>
            <w:shd w:val="clear" w:color="auto" w:fill="auto"/>
            <w:vAlign w:val="center"/>
          </w:tcPr>
          <w:p>
            <w:pPr>
              <w:rPr>
                <w:color w:val="auto"/>
                <w:highlight w:val="none"/>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总数</w:t>
            </w:r>
          </w:p>
        </w:tc>
        <w:tc>
          <w:tcPr>
            <w:tcW w:w="1455" w:type="dxa"/>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2019-2020</w:t>
            </w:r>
            <w:r>
              <w:rPr>
                <w:rFonts w:hint="eastAsia" w:ascii="宋体" w:cs="宋体"/>
                <w:color w:val="auto"/>
                <w:kern w:val="0"/>
                <w:sz w:val="20"/>
                <w:szCs w:val="20"/>
                <w:highlight w:val="none"/>
                <w:lang w:val="en-US" w:eastAsia="zh-CN"/>
              </w:rPr>
              <w:t>学</w:t>
            </w:r>
            <w:r>
              <w:rPr>
                <w:rFonts w:hint="eastAsia" w:ascii="宋体" w:cs="宋体"/>
                <w:color w:val="auto"/>
                <w:kern w:val="0"/>
                <w:sz w:val="20"/>
                <w:szCs w:val="20"/>
                <w:highlight w:val="none"/>
                <w:lang w:val="zh-CN"/>
              </w:rPr>
              <w:t>年新增数</w:t>
            </w:r>
          </w:p>
        </w:tc>
        <w:tc>
          <w:tcPr>
            <w:tcW w:w="1442" w:type="dxa"/>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总数</w:t>
            </w:r>
          </w:p>
        </w:tc>
        <w:tc>
          <w:tcPr>
            <w:tcW w:w="1436" w:type="dxa"/>
            <w:shd w:val="clear" w:color="000000" w:fill="FFFFFF"/>
            <w:vAlign w:val="center"/>
          </w:tcPr>
          <w:p>
            <w:pPr>
              <w:autoSpaceDE w:val="0"/>
              <w:autoSpaceDN w:val="0"/>
              <w:adjustRightInd w:val="0"/>
              <w:jc w:val="center"/>
              <w:rPr>
                <w:rFonts w:hint="eastAsia" w:ascii="宋体" w:cs="宋体"/>
                <w:color w:val="auto"/>
                <w:kern w:val="0"/>
                <w:sz w:val="20"/>
                <w:szCs w:val="20"/>
                <w:highlight w:val="none"/>
                <w:lang w:val="zh-CN"/>
              </w:rPr>
            </w:pPr>
            <w:r>
              <w:rPr>
                <w:rFonts w:hint="eastAsia" w:ascii="宋体" w:cs="宋体"/>
                <w:color w:val="auto"/>
                <w:kern w:val="0"/>
                <w:sz w:val="20"/>
                <w:szCs w:val="20"/>
                <w:highlight w:val="none"/>
                <w:lang w:val="zh-CN"/>
              </w:rPr>
              <w:t>2019-2020</w:t>
            </w:r>
            <w:r>
              <w:rPr>
                <w:rFonts w:hint="eastAsia" w:ascii="宋体" w:cs="宋体"/>
                <w:color w:val="auto"/>
                <w:kern w:val="0"/>
                <w:sz w:val="20"/>
                <w:szCs w:val="20"/>
                <w:highlight w:val="none"/>
                <w:lang w:val="en-US" w:eastAsia="zh-CN"/>
              </w:rPr>
              <w:t>学</w:t>
            </w:r>
            <w:r>
              <w:rPr>
                <w:rFonts w:hint="eastAsia" w:ascii="宋体" w:cs="宋体"/>
                <w:color w:val="auto"/>
                <w:kern w:val="0"/>
                <w:sz w:val="20"/>
                <w:szCs w:val="20"/>
                <w:highlight w:val="none"/>
                <w:lang w:val="zh-CN"/>
              </w:rPr>
              <w:t>年新增数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教学团队</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教学名师奖</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教坛新秀奖</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一流专业建设点</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获奖教材</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线下一流课程</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线上线下混合式一流课程</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社会实践一流课程</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虚拟仿真实验教学一流课程（虚拟仿真实验项目）</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线上一流课程在线开放课程</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新工科研究与实践项目</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3465" w:type="dxa"/>
            <w:shd w:val="clear" w:color="auto" w:fill="auto"/>
            <w:vAlign w:val="center"/>
          </w:tcPr>
          <w:p>
            <w:pPr>
              <w:autoSpaceDE w:val="0"/>
              <w:autoSpaceDN w:val="0"/>
              <w:adjustRightInd w:val="0"/>
              <w:jc w:val="center"/>
              <w:rPr>
                <w:rFonts w:hint="eastAsia" w:ascii="宋体" w:cs="宋体"/>
                <w:color w:val="auto"/>
                <w:kern w:val="0"/>
                <w:sz w:val="18"/>
                <w:szCs w:val="18"/>
                <w:highlight w:val="none"/>
                <w:lang w:val="zh-CN"/>
              </w:rPr>
            </w:pPr>
            <w:r>
              <w:rPr>
                <w:rFonts w:hint="eastAsia" w:ascii="宋体" w:cs="宋体"/>
                <w:color w:val="auto"/>
                <w:kern w:val="0"/>
                <w:sz w:val="18"/>
                <w:szCs w:val="18"/>
                <w:highlight w:val="none"/>
                <w:lang w:val="zh-CN"/>
              </w:rPr>
              <w:t>新农科研究与改革实践项目</w:t>
            </w: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55"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42"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c>
          <w:tcPr>
            <w:tcW w:w="1436" w:type="dxa"/>
            <w:shd w:val="clear" w:color="000000" w:fill="FFFFFF"/>
            <w:vAlign w:val="center"/>
          </w:tcPr>
          <w:p>
            <w:pPr>
              <w:autoSpaceDE w:val="0"/>
              <w:autoSpaceDN w:val="0"/>
              <w:adjustRightInd w:val="0"/>
              <w:jc w:val="center"/>
              <w:rPr>
                <w:rFonts w:hint="eastAsia" w:ascii="宋体" w:cs="宋体"/>
                <w:color w:val="auto"/>
                <w:kern w:val="0"/>
                <w:sz w:val="18"/>
                <w:szCs w:val="18"/>
                <w:highlight w:val="none"/>
                <w:lang w:val="zh-CN"/>
              </w:rPr>
            </w:pPr>
          </w:p>
        </w:tc>
      </w:tr>
    </w:tbl>
    <w:p>
      <w:pPr>
        <w:autoSpaceDE w:val="0"/>
        <w:autoSpaceDN w:val="0"/>
        <w:adjustRightInd w:val="0"/>
        <w:rPr>
          <w:rFonts w:cs="Calibri"/>
          <w:color w:val="auto"/>
          <w:kern w:val="0"/>
          <w:szCs w:val="21"/>
          <w:highlight w:val="none"/>
        </w:rPr>
      </w:pPr>
    </w:p>
    <w:p>
      <w:pPr>
        <w:autoSpaceDE w:val="0"/>
        <w:autoSpaceDN w:val="0"/>
        <w:adjustRightInd w:val="0"/>
        <w:spacing w:line="320" w:lineRule="exact"/>
        <w:rPr>
          <w:rFonts w:hint="eastAsia" w:ascii="楷体_GB2312" w:eastAsia="楷体_GB2312" w:cs="Calibri"/>
          <w:color w:val="auto"/>
          <w:kern w:val="0"/>
          <w:sz w:val="28"/>
          <w:szCs w:val="28"/>
          <w:highlight w:val="none"/>
        </w:rPr>
      </w:pPr>
      <w:r>
        <w:rPr>
          <w:rFonts w:cs="Calibri"/>
          <w:color w:val="auto"/>
          <w:kern w:val="0"/>
          <w:szCs w:val="21"/>
          <w:highlight w:val="none"/>
        </w:rPr>
        <w:br w:type="page"/>
      </w:r>
      <w:r>
        <w:rPr>
          <w:rFonts w:hint="eastAsia" w:ascii="楷体_GB2312" w:eastAsia="楷体_GB2312" w:cs="Calibri"/>
          <w:color w:val="auto"/>
          <w:kern w:val="0"/>
          <w:sz w:val="28"/>
          <w:szCs w:val="28"/>
          <w:highlight w:val="none"/>
        </w:rPr>
        <w:t>附件3-4</w:t>
      </w:r>
    </w:p>
    <w:p>
      <w:pPr>
        <w:autoSpaceDE w:val="0"/>
        <w:autoSpaceDN w:val="0"/>
        <w:adjustRightInd w:val="0"/>
        <w:spacing w:after="120" w:afterLines="50" w:line="320" w:lineRule="exact"/>
        <w:jc w:val="center"/>
        <w:rPr>
          <w:rFonts w:hint="eastAsia" w:ascii="宋体" w:cs="黑体"/>
          <w:b/>
          <w:color w:val="auto"/>
          <w:kern w:val="0"/>
          <w:sz w:val="30"/>
          <w:szCs w:val="30"/>
          <w:highlight w:val="none"/>
          <w:lang w:val="zh-CN"/>
        </w:rPr>
      </w:pPr>
      <w:r>
        <w:rPr>
          <w:rFonts w:hint="eastAsia" w:ascii="宋体" w:cs="Calibri"/>
          <w:color w:val="auto"/>
          <w:kern w:val="0"/>
          <w:sz w:val="32"/>
          <w:szCs w:val="32"/>
          <w:highlight w:val="none"/>
          <w:u w:val="single"/>
        </w:rPr>
        <w:t xml:space="preserve">             </w:t>
      </w:r>
      <w:r>
        <w:rPr>
          <w:rFonts w:hint="eastAsia" w:ascii="宋体" w:cs="黑体"/>
          <w:b/>
          <w:color w:val="auto"/>
          <w:kern w:val="0"/>
          <w:sz w:val="30"/>
          <w:szCs w:val="30"/>
          <w:highlight w:val="none"/>
          <w:lang w:val="zh-CN"/>
        </w:rPr>
        <w:t>大学（学院）学科建设情况汇总表</w:t>
      </w:r>
    </w:p>
    <w:tbl>
      <w:tblPr>
        <w:tblStyle w:val="6"/>
        <w:tblpPr w:leftFromText="180" w:rightFromText="180" w:vertAnchor="text" w:horzAnchor="page" w:tblpX="1690" w:tblpY="2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813"/>
        <w:gridCol w:w="813"/>
        <w:gridCol w:w="818"/>
        <w:gridCol w:w="552"/>
        <w:gridCol w:w="1026"/>
        <w:gridCol w:w="1133"/>
        <w:gridCol w:w="1133"/>
        <w:gridCol w:w="836"/>
        <w:gridCol w:w="52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57"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分类</w:t>
            </w:r>
          </w:p>
        </w:tc>
        <w:tc>
          <w:tcPr>
            <w:tcW w:w="2444" w:type="dxa"/>
            <w:gridSpan w:val="3"/>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项</w:t>
            </w:r>
            <w:r>
              <w:rPr>
                <w:rFonts w:hint="eastAsia" w:asciiTheme="minorEastAsia" w:hAnsiTheme="minorEastAsia" w:eastAsiaTheme="minorEastAsia" w:cstheme="minorEastAsia"/>
                <w:color w:val="auto"/>
                <w:kern w:val="0"/>
                <w:sz w:val="18"/>
                <w:szCs w:val="18"/>
                <w:highlight w:val="none"/>
              </w:rPr>
              <w:t xml:space="preserve">    </w:t>
            </w:r>
            <w:r>
              <w:rPr>
                <w:rFonts w:hint="eastAsia" w:asciiTheme="minorEastAsia" w:hAnsiTheme="minorEastAsia" w:eastAsiaTheme="minorEastAsia" w:cstheme="minorEastAsia"/>
                <w:color w:val="auto"/>
                <w:kern w:val="0"/>
                <w:sz w:val="18"/>
                <w:szCs w:val="18"/>
                <w:highlight w:val="none"/>
                <w:lang w:val="zh-CN"/>
              </w:rPr>
              <w:t>目</w:t>
            </w:r>
          </w:p>
        </w:tc>
        <w:tc>
          <w:tcPr>
            <w:tcW w:w="1578"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数量</w:t>
            </w:r>
          </w:p>
        </w:tc>
        <w:tc>
          <w:tcPr>
            <w:tcW w:w="3102" w:type="dxa"/>
            <w:gridSpan w:val="3"/>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项</w:t>
            </w:r>
            <w:r>
              <w:rPr>
                <w:rFonts w:hint="eastAsia" w:asciiTheme="minorEastAsia" w:hAnsiTheme="minorEastAsia" w:eastAsiaTheme="minorEastAsia" w:cstheme="minorEastAsia"/>
                <w:color w:val="auto"/>
                <w:kern w:val="0"/>
                <w:sz w:val="18"/>
                <w:szCs w:val="18"/>
                <w:highlight w:val="none"/>
              </w:rPr>
              <w:t xml:space="preserve">    </w:t>
            </w:r>
            <w:r>
              <w:rPr>
                <w:rFonts w:hint="eastAsia" w:asciiTheme="minorEastAsia" w:hAnsiTheme="minorEastAsia" w:eastAsiaTheme="minorEastAsia" w:cstheme="minorEastAsia"/>
                <w:color w:val="auto"/>
                <w:kern w:val="0"/>
                <w:sz w:val="18"/>
                <w:szCs w:val="18"/>
                <w:highlight w:val="none"/>
                <w:lang w:val="zh-CN"/>
              </w:rPr>
              <w:t>目</w:t>
            </w:r>
          </w:p>
        </w:tc>
        <w:tc>
          <w:tcPr>
            <w:tcW w:w="1556"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总数</w:t>
            </w: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en-US" w:eastAsia="zh-CN"/>
              </w:rPr>
            </w:pPr>
            <w:r>
              <w:rPr>
                <w:rFonts w:hint="eastAsia" w:asciiTheme="minorEastAsia" w:hAnsiTheme="minorEastAsia" w:eastAsiaTheme="minorEastAsia" w:cstheme="minorEastAsia"/>
                <w:color w:val="auto"/>
                <w:kern w:val="0"/>
                <w:sz w:val="18"/>
                <w:szCs w:val="18"/>
                <w:highlight w:val="none"/>
                <w:vertAlign w:val="baseline"/>
                <w:lang w:val="en-US" w:eastAsia="zh-CN"/>
              </w:rPr>
              <w:t>2019-2020学年新增</w:t>
            </w:r>
          </w:p>
        </w:tc>
        <w:tc>
          <w:tcPr>
            <w:tcW w:w="3102" w:type="dxa"/>
            <w:gridSpan w:val="3"/>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总数</w:t>
            </w: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en-US" w:eastAsia="zh-CN"/>
              </w:rPr>
              <w:t>2019-2020学年新增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57" w:type="dxa"/>
            <w:vMerge w:val="restart"/>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教师队伍</w:t>
            </w: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两院院士</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长江学者、国家杰青</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新世纪“百千万人才工程”国家级人选</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国家级优秀教师</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引进海外高层次人才“千人计划”人选</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zh-CN"/>
              </w:rPr>
              <w:t>草原英才”工程人选</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626" w:type="dxa"/>
            <w:gridSpan w:val="2"/>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五一劳动奖章</w:t>
            </w:r>
          </w:p>
        </w:tc>
        <w:tc>
          <w:tcPr>
            <w:tcW w:w="818"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国家</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266" w:type="dxa"/>
            <w:gridSpan w:val="2"/>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自治区“新世纪</w:t>
            </w:r>
            <w:r>
              <w:rPr>
                <w:rFonts w:hint="eastAsia" w:asciiTheme="minorEastAsia" w:hAnsiTheme="minorEastAsia" w:eastAsiaTheme="minorEastAsia" w:cstheme="minorEastAsia"/>
                <w:color w:val="auto"/>
                <w:kern w:val="0"/>
                <w:sz w:val="18"/>
                <w:szCs w:val="18"/>
                <w:highlight w:val="none"/>
              </w:rPr>
              <w:t>321</w:t>
            </w:r>
            <w:r>
              <w:rPr>
                <w:rFonts w:hint="eastAsia" w:asciiTheme="minorEastAsia" w:hAnsiTheme="minorEastAsia" w:eastAsiaTheme="minorEastAsia" w:cstheme="minorEastAsia"/>
                <w:color w:val="auto"/>
                <w:kern w:val="0"/>
                <w:sz w:val="18"/>
                <w:szCs w:val="18"/>
                <w:highlight w:val="none"/>
                <w:lang w:val="zh-CN"/>
              </w:rPr>
              <w:t>人才工程”</w:t>
            </w:r>
          </w:p>
        </w:tc>
        <w:tc>
          <w:tcPr>
            <w:tcW w:w="83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一层次</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626" w:type="dxa"/>
            <w:gridSpan w:val="2"/>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18"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自治区</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266" w:type="dxa"/>
            <w:gridSpan w:val="2"/>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3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二层次</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享受国务院特殊津贴者</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自治区有突出贡献的中青年专家</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“草原英才”工程产业创新人才团队</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内蒙古杰出人才奖</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教育部创新团队、国家自然科学基金委创新研究群体</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lang w:val="zh-CN"/>
              </w:rPr>
            </w:pP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57" w:type="dxa"/>
            <w:vMerge w:val="restart"/>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科学研究（近三年）</w:t>
            </w:r>
          </w:p>
        </w:tc>
        <w:tc>
          <w:tcPr>
            <w:tcW w:w="1626" w:type="dxa"/>
            <w:gridSpan w:val="2"/>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6"/>
                <w:szCs w:val="16"/>
                <w:highlight w:val="none"/>
                <w:lang w:val="zh-CN"/>
              </w:rPr>
              <w:t>国家自然科学奖、技术发明奖、科技进步奖</w:t>
            </w:r>
          </w:p>
        </w:tc>
        <w:tc>
          <w:tcPr>
            <w:tcW w:w="818"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一等奖</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266" w:type="dxa"/>
            <w:gridSpan w:val="2"/>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5"/>
                <w:szCs w:val="15"/>
                <w:highlight w:val="none"/>
                <w:lang w:val="zh-CN"/>
              </w:rPr>
              <w:t>省级自然科学奖、技科技进步奖、哲学社会科学优秀成果政府奖</w:t>
            </w:r>
          </w:p>
        </w:tc>
        <w:tc>
          <w:tcPr>
            <w:tcW w:w="83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一等奖</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626" w:type="dxa"/>
            <w:gridSpan w:val="2"/>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18"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二等奖</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266" w:type="dxa"/>
            <w:gridSpan w:val="2"/>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3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二等奖</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专利（著作权）授权数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科研成果转化数</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出版专著数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主编教材数</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7" w:type="dxa"/>
            <w:vMerge w:val="restart"/>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学科情况</w:t>
            </w: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国家一流学科数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自治区一流建设学科数</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国家重点实验室数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省部级重点实验室数</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博士授权学科</w:t>
            </w:r>
          </w:p>
        </w:tc>
        <w:tc>
          <w:tcPr>
            <w:tcW w:w="1631"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一级</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133"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硕士授权学科</w:t>
            </w:r>
          </w:p>
        </w:tc>
        <w:tc>
          <w:tcPr>
            <w:tcW w:w="1969"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一级</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631"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3"/>
                <w:szCs w:val="13"/>
                <w:highlight w:val="none"/>
                <w:lang w:val="zh-CN"/>
              </w:rPr>
              <w:t>二级A(已有一级学科所包含的二级学科)</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13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969"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3"/>
                <w:szCs w:val="13"/>
                <w:highlight w:val="none"/>
                <w:lang w:val="zh-CN"/>
              </w:rPr>
              <w:t>二级A(已有一级学科所包含的二级学科)</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8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631"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3"/>
                <w:szCs w:val="13"/>
                <w:highlight w:val="none"/>
                <w:lang w:val="zh-CN"/>
              </w:rPr>
              <w:t>二级B(不含已有一级学科所包含的二级学科)</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13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969" w:type="dxa"/>
            <w:gridSpan w:val="2"/>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3"/>
                <w:szCs w:val="13"/>
                <w:highlight w:val="none"/>
                <w:lang w:val="zh-CN"/>
              </w:rPr>
              <w:t>二级B(不含已有一级学科所包含的二级学科)</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专业学位授权领域</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博士后流动站</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7" w:type="dxa"/>
            <w:vMerge w:val="continue"/>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vertAlign w:val="baseline"/>
                <w:lang w:val="zh-CN"/>
              </w:rPr>
              <w:t>专业学位授权类别数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restart"/>
            <w:textDirection w:val="tbLrV"/>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对外交流</w:t>
            </w: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境外交流学习或联合培养国家（地区）数</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境外交流学习或联合培养学校（机构）数</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Merge w:val="continue"/>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2444"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近三年全日制境外交流学习或联合培养的人数（一个学期及以上）</w:t>
            </w:r>
          </w:p>
        </w:tc>
        <w:tc>
          <w:tcPr>
            <w:tcW w:w="552"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6"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3102" w:type="dxa"/>
            <w:gridSpan w:val="3"/>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r>
              <w:rPr>
                <w:rFonts w:hint="eastAsia" w:asciiTheme="minorEastAsia" w:hAnsiTheme="minorEastAsia" w:eastAsiaTheme="minorEastAsia" w:cstheme="minorEastAsia"/>
                <w:color w:val="auto"/>
                <w:kern w:val="0"/>
                <w:sz w:val="18"/>
                <w:szCs w:val="18"/>
                <w:highlight w:val="none"/>
                <w:lang w:val="zh-CN"/>
              </w:rPr>
              <w:t>近三年接收境外本科学生人数（一个学期及以上）</w:t>
            </w:r>
          </w:p>
        </w:tc>
        <w:tc>
          <w:tcPr>
            <w:tcW w:w="529"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c>
          <w:tcPr>
            <w:tcW w:w="1027" w:type="dxa"/>
            <w:vAlign w:val="center"/>
          </w:tcPr>
          <w:p>
            <w:pPr>
              <w:keepNext w:val="0"/>
              <w:keepLines w:val="0"/>
              <w:pageBreakBefore w:val="0"/>
              <w:widowControl w:val="0"/>
              <w:kinsoku/>
              <w:wordWrap/>
              <w:overflowPunct/>
              <w:topLinePunct w:val="0"/>
              <w:autoSpaceDE w:val="0"/>
              <w:autoSpaceDN w:val="0"/>
              <w:bidi w:val="0"/>
              <w:adjustRightInd w:val="0"/>
              <w:snapToGrid/>
              <w:ind w:left="0" w:right="0" w:rightChars="0"/>
              <w:jc w:val="center"/>
              <w:textAlignment w:val="auto"/>
              <w:rPr>
                <w:rFonts w:hint="eastAsia" w:asciiTheme="minorEastAsia" w:hAnsiTheme="minorEastAsia" w:eastAsiaTheme="minorEastAsia" w:cstheme="minorEastAsia"/>
                <w:color w:val="auto"/>
                <w:kern w:val="0"/>
                <w:sz w:val="18"/>
                <w:szCs w:val="18"/>
                <w:highlight w:val="none"/>
                <w:vertAlign w:val="baseline"/>
                <w:lang w:val="zh-CN"/>
              </w:rPr>
            </w:pPr>
          </w:p>
        </w:tc>
      </w:tr>
    </w:tbl>
    <w:p>
      <w:pPr>
        <w:autoSpaceDE w:val="0"/>
        <w:autoSpaceDN w:val="0"/>
        <w:adjustRightInd w:val="0"/>
        <w:ind w:leftChars="-86" w:right="-535" w:rightChars="-255" w:hanging="181" w:hangingChars="100"/>
        <w:rPr>
          <w:color w:val="auto"/>
          <w:highlight w:val="none"/>
        </w:rPr>
      </w:pPr>
      <w:r>
        <w:rPr>
          <w:rFonts w:hint="eastAsia" w:ascii="仿宋_GB2312" w:eastAsia="仿宋_GB2312" w:cs="宋体"/>
          <w:b/>
          <w:color w:val="auto"/>
          <w:kern w:val="0"/>
          <w:sz w:val="18"/>
          <w:szCs w:val="18"/>
          <w:highlight w:val="none"/>
          <w:lang w:val="zh-CN"/>
        </w:rPr>
        <w:t>注：</w:t>
      </w:r>
      <w:r>
        <w:rPr>
          <w:rFonts w:hint="eastAsia" w:ascii="仿宋_GB2312" w:eastAsia="仿宋_GB2312" w:cs="宋体"/>
          <w:color w:val="auto"/>
          <w:kern w:val="0"/>
          <w:sz w:val="18"/>
          <w:szCs w:val="18"/>
          <w:highlight w:val="none"/>
          <w:lang w:val="zh-CN"/>
        </w:rPr>
        <w:t>凡标注“近三年”的项目，统计时间为</w:t>
      </w:r>
      <w:r>
        <w:rPr>
          <w:rFonts w:hint="eastAsia" w:ascii="仿宋_GB2312" w:eastAsia="仿宋_GB2312" w:cs="Calibri"/>
          <w:color w:val="auto"/>
          <w:kern w:val="0"/>
          <w:sz w:val="18"/>
          <w:szCs w:val="18"/>
          <w:highlight w:val="none"/>
        </w:rPr>
        <w:t>201</w:t>
      </w:r>
      <w:r>
        <w:rPr>
          <w:rFonts w:hint="eastAsia" w:ascii="仿宋_GB2312" w:eastAsia="仿宋_GB2312" w:cs="Calibri"/>
          <w:color w:val="auto"/>
          <w:kern w:val="0"/>
          <w:sz w:val="18"/>
          <w:szCs w:val="18"/>
          <w:highlight w:val="none"/>
          <w:lang w:val="en-US" w:eastAsia="zh-CN"/>
        </w:rPr>
        <w:t>7</w:t>
      </w:r>
      <w:r>
        <w:rPr>
          <w:rFonts w:hint="eastAsia" w:ascii="仿宋_GB2312" w:eastAsia="仿宋_GB2312" w:cs="宋体"/>
          <w:color w:val="auto"/>
          <w:kern w:val="0"/>
          <w:sz w:val="18"/>
          <w:szCs w:val="18"/>
          <w:highlight w:val="none"/>
          <w:lang w:val="zh-CN"/>
        </w:rPr>
        <w:t>年</w:t>
      </w:r>
      <w:r>
        <w:rPr>
          <w:rFonts w:hint="eastAsia" w:ascii="仿宋_GB2312" w:eastAsia="仿宋_GB2312" w:cs="Calibri"/>
          <w:color w:val="auto"/>
          <w:kern w:val="0"/>
          <w:sz w:val="18"/>
          <w:szCs w:val="18"/>
          <w:highlight w:val="none"/>
        </w:rPr>
        <w:t>1</w:t>
      </w:r>
      <w:r>
        <w:rPr>
          <w:rFonts w:hint="eastAsia" w:ascii="仿宋_GB2312" w:eastAsia="仿宋_GB2312" w:cs="宋体"/>
          <w:color w:val="auto"/>
          <w:kern w:val="0"/>
          <w:sz w:val="18"/>
          <w:szCs w:val="18"/>
          <w:highlight w:val="none"/>
          <w:lang w:val="zh-CN"/>
        </w:rPr>
        <w:t>月</w:t>
      </w:r>
      <w:r>
        <w:rPr>
          <w:rFonts w:hint="eastAsia" w:ascii="仿宋_GB2312" w:eastAsia="仿宋_GB2312" w:cs="Calibri"/>
          <w:color w:val="auto"/>
          <w:kern w:val="0"/>
          <w:sz w:val="18"/>
          <w:szCs w:val="18"/>
          <w:highlight w:val="none"/>
        </w:rPr>
        <w:t>1</w:t>
      </w:r>
      <w:r>
        <w:rPr>
          <w:rFonts w:hint="eastAsia" w:ascii="仿宋_GB2312" w:eastAsia="仿宋_GB2312" w:cs="宋体"/>
          <w:color w:val="auto"/>
          <w:kern w:val="0"/>
          <w:sz w:val="18"/>
          <w:szCs w:val="18"/>
          <w:highlight w:val="none"/>
          <w:lang w:val="zh-CN"/>
        </w:rPr>
        <w:t>日—</w:t>
      </w:r>
      <w:r>
        <w:rPr>
          <w:rFonts w:hint="eastAsia" w:ascii="仿宋_GB2312" w:eastAsia="仿宋_GB2312" w:cs="Calibri"/>
          <w:color w:val="auto"/>
          <w:kern w:val="0"/>
          <w:sz w:val="18"/>
          <w:szCs w:val="18"/>
          <w:highlight w:val="none"/>
        </w:rPr>
        <w:t>201</w:t>
      </w:r>
      <w:r>
        <w:rPr>
          <w:rFonts w:hint="eastAsia" w:ascii="仿宋_GB2312" w:eastAsia="仿宋_GB2312" w:cs="Calibri"/>
          <w:color w:val="auto"/>
          <w:kern w:val="0"/>
          <w:sz w:val="18"/>
          <w:szCs w:val="18"/>
          <w:highlight w:val="none"/>
          <w:lang w:val="en-US" w:eastAsia="zh-CN"/>
        </w:rPr>
        <w:t>9</w:t>
      </w:r>
      <w:r>
        <w:rPr>
          <w:rFonts w:hint="eastAsia" w:ascii="仿宋_GB2312" w:eastAsia="仿宋_GB2312" w:cs="宋体"/>
          <w:color w:val="auto"/>
          <w:kern w:val="0"/>
          <w:sz w:val="18"/>
          <w:szCs w:val="18"/>
          <w:highlight w:val="none"/>
          <w:lang w:val="zh-CN"/>
        </w:rPr>
        <w:t>年</w:t>
      </w:r>
      <w:r>
        <w:rPr>
          <w:rFonts w:hint="eastAsia" w:ascii="仿宋_GB2312" w:eastAsia="仿宋_GB2312" w:cs="Calibri"/>
          <w:color w:val="auto"/>
          <w:kern w:val="0"/>
          <w:sz w:val="18"/>
          <w:szCs w:val="18"/>
          <w:highlight w:val="none"/>
        </w:rPr>
        <w:t>12</w:t>
      </w:r>
      <w:r>
        <w:rPr>
          <w:rFonts w:hint="eastAsia" w:ascii="仿宋_GB2312" w:eastAsia="仿宋_GB2312" w:cs="宋体"/>
          <w:color w:val="auto"/>
          <w:kern w:val="0"/>
          <w:sz w:val="18"/>
          <w:szCs w:val="18"/>
          <w:highlight w:val="none"/>
          <w:lang w:val="zh-CN"/>
        </w:rPr>
        <w:t>月</w:t>
      </w:r>
      <w:r>
        <w:rPr>
          <w:rFonts w:hint="eastAsia" w:ascii="仿宋_GB2312" w:eastAsia="仿宋_GB2312" w:cs="Calibri"/>
          <w:color w:val="auto"/>
          <w:kern w:val="0"/>
          <w:sz w:val="18"/>
          <w:szCs w:val="18"/>
          <w:highlight w:val="none"/>
        </w:rPr>
        <w:t>31</w:t>
      </w:r>
      <w:r>
        <w:rPr>
          <w:rFonts w:hint="eastAsia" w:ascii="仿宋_GB2312" w:eastAsia="仿宋_GB2312" w:cs="宋体"/>
          <w:color w:val="auto"/>
          <w:kern w:val="0"/>
          <w:sz w:val="18"/>
          <w:szCs w:val="18"/>
          <w:highlight w:val="none"/>
          <w:lang w:val="zh-CN"/>
        </w:rPr>
        <w:t>日。请直接填写具体数字，不用填写计量单位。</w:t>
      </w:r>
    </w:p>
    <w:sectPr>
      <w:pgSz w:w="12240" w:h="15840"/>
      <w:pgMar w:top="1701" w:right="1418" w:bottom="1418" w:left="1701"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lear" w:pos="4153"/>
        <w:tab w:val="clear" w:pos="8306"/>
      </w:tabs>
      <w:rPr>
        <w:rStyle w:val="8"/>
      </w:rPr>
    </w:pPr>
    <w:r>
      <w:fldChar w:fldCharType="begin"/>
    </w:r>
    <w:r>
      <w:rPr>
        <w:rStyle w:val="8"/>
      </w:rPr>
      <w:instrText xml:space="preserve">PAGE  </w:instrText>
    </w:r>
    <w:r>
      <w:fldChar w:fldCharType="separate"/>
    </w:r>
    <w:r>
      <w:t xml:space="preserve"> </w:t>
    </w:r>
    <w:r>
      <w:fldChar w:fldCharType="end"/>
    </w:r>
  </w:p>
  <w:p>
    <w:pPr>
      <w:pStyle w:val="2"/>
      <w:tabs>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748EF"/>
    <w:multiLevelType w:val="singleLevel"/>
    <w:tmpl w:val="DED748EF"/>
    <w:lvl w:ilvl="0" w:tentative="0">
      <w:start w:val="4"/>
      <w:numFmt w:val="chineseCounting"/>
      <w:suff w:val="nothing"/>
      <w:lvlText w:val="%1、"/>
      <w:lvlJc w:val="left"/>
      <w:rPr>
        <w:rFonts w:hint="eastAsia"/>
      </w:rPr>
    </w:lvl>
  </w:abstractNum>
  <w:abstractNum w:abstractNumId="1">
    <w:nsid w:val="546EF2D9"/>
    <w:multiLevelType w:val="singleLevel"/>
    <w:tmpl w:val="546EF2D9"/>
    <w:lvl w:ilvl="0" w:tentative="0">
      <w:start w:val="1"/>
      <w:numFmt w:val="chineseCounting"/>
      <w:suff w:val="nothing"/>
      <w:lvlText w:val="%1、"/>
      <w:lvlJc w:val="left"/>
      <w:pPr>
        <w:tabs>
          <w:tab w:val="left" w:pos="0"/>
        </w:tabs>
        <w:ind w:left="0" w:firstLine="0"/>
      </w:pPr>
    </w:lvl>
  </w:abstractNum>
  <w:abstractNum w:abstractNumId="2">
    <w:nsid w:val="616B384A"/>
    <w:multiLevelType w:val="singleLevel"/>
    <w:tmpl w:val="616B384A"/>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719B5"/>
    <w:rsid w:val="00432FF5"/>
    <w:rsid w:val="00663385"/>
    <w:rsid w:val="02BE5BC1"/>
    <w:rsid w:val="035B5D24"/>
    <w:rsid w:val="09760A58"/>
    <w:rsid w:val="0E7772AA"/>
    <w:rsid w:val="11217C9F"/>
    <w:rsid w:val="1A6D1306"/>
    <w:rsid w:val="1BBE2B34"/>
    <w:rsid w:val="1F4719B5"/>
    <w:rsid w:val="233F6EB6"/>
    <w:rsid w:val="29060F2C"/>
    <w:rsid w:val="2D455999"/>
    <w:rsid w:val="2F851D01"/>
    <w:rsid w:val="2FC402F3"/>
    <w:rsid w:val="2FCE0443"/>
    <w:rsid w:val="33E21B45"/>
    <w:rsid w:val="3A774580"/>
    <w:rsid w:val="3DA02185"/>
    <w:rsid w:val="433154C9"/>
    <w:rsid w:val="44F33DA4"/>
    <w:rsid w:val="45243480"/>
    <w:rsid w:val="463878E6"/>
    <w:rsid w:val="46CA721C"/>
    <w:rsid w:val="50E278F7"/>
    <w:rsid w:val="53AD7C2B"/>
    <w:rsid w:val="55292673"/>
    <w:rsid w:val="565C5D8C"/>
    <w:rsid w:val="58D42BA8"/>
    <w:rsid w:val="59B36DD3"/>
    <w:rsid w:val="5A4D70C3"/>
    <w:rsid w:val="60A27D1D"/>
    <w:rsid w:val="629C7028"/>
    <w:rsid w:val="639A6F31"/>
    <w:rsid w:val="67A368BE"/>
    <w:rsid w:val="6A91459D"/>
    <w:rsid w:val="6D2A093B"/>
    <w:rsid w:val="6F641067"/>
    <w:rsid w:val="7020447C"/>
    <w:rsid w:val="71950691"/>
    <w:rsid w:val="729B7D5C"/>
    <w:rsid w:val="75520FDB"/>
    <w:rsid w:val="77784618"/>
    <w:rsid w:val="779B0CB7"/>
    <w:rsid w:val="79917EA9"/>
    <w:rsid w:val="7A50060C"/>
    <w:rsid w:val="7B6D4CFC"/>
    <w:rsid w:val="7C9E4C9F"/>
    <w:rsid w:val="7CF36A01"/>
    <w:rsid w:val="7E4A6536"/>
    <w:rsid w:val="7EAD28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szCs w:val="20"/>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2017-11-24T08:15:00Z</dcterms:created>
  <dc:creator>Administrator</dc:creator>
  <cp:lastModifiedBy>Administrator</cp:lastModifiedBy>
  <cp:lastPrinted>2020-09-28T01:40:03Z</cp:lastPrinted>
  <dcterms:modified xsi:type="dcterms:W3CDTF">2020-09-28T01:56:51Z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