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44"/>
        </w:rPr>
      </w:pPr>
      <w:r>
        <w:rPr>
          <w:rFonts w:hint="eastAsia" w:ascii="微软雅黑" w:hAnsi="微软雅黑" w:eastAsia="微软雅黑"/>
          <w:b/>
          <w:sz w:val="44"/>
          <w:szCs w:val="44"/>
          <w:lang w:bidi="mn-Mong-CN"/>
        </w:rPr>
        <mc:AlternateContent>
          <mc:Choice Requires="wps">
            <w:drawing>
              <wp:anchor distT="0" distB="0" distL="114300" distR="114300" simplePos="0" relativeHeight="251660288" behindDoc="0" locked="0" layoutInCell="1" allowOverlap="1">
                <wp:simplePos x="0" y="0"/>
                <wp:positionH relativeFrom="page">
                  <wp:posOffset>5552440</wp:posOffset>
                </wp:positionH>
                <wp:positionV relativeFrom="paragraph">
                  <wp:posOffset>0</wp:posOffset>
                </wp:positionV>
                <wp:extent cx="2009775" cy="542925"/>
                <wp:effectExtent l="0" t="0" r="9525" b="9525"/>
                <wp:wrapNone/>
                <wp:docPr id="10" name="文本框 10"/>
                <wp:cNvGraphicFramePr/>
                <a:graphic xmlns:a="http://schemas.openxmlformats.org/drawingml/2006/main">
                  <a:graphicData uri="http://schemas.microsoft.com/office/word/2010/wordprocessingShape">
                    <wps:wsp>
                      <wps:cNvSpPr txBox="1"/>
                      <wps:spPr>
                        <a:xfrm>
                          <a:off x="0" y="0"/>
                          <a:ext cx="2009775" cy="542925"/>
                        </a:xfrm>
                        <a:prstGeom prst="rect">
                          <a:avLst/>
                        </a:prstGeom>
                        <a:solidFill>
                          <a:schemeClr val="accent5">
                            <a:lumMod val="50000"/>
                          </a:schemeClr>
                        </a:solidFill>
                        <a:ln w="6350">
                          <a:noFill/>
                        </a:ln>
                      </wps:spPr>
                      <wps:txbx>
                        <w:txbxContent>
                          <w:p>
                            <w:pPr>
                              <w:ind w:firstLine="160" w:firstLineChars="50"/>
                              <w:rPr>
                                <w:sz w:val="32"/>
                                <w:szCs w:val="32"/>
                              </w:rPr>
                            </w:pPr>
                            <w:r>
                              <w:rPr>
                                <w:rFonts w:hint="eastAsia" w:ascii="微软雅黑" w:hAnsi="微软雅黑" w:eastAsia="微软雅黑"/>
                                <w:b/>
                                <w:sz w:val="32"/>
                                <w:szCs w:val="32"/>
                              </w:rPr>
                              <w:t>博士项目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2pt;margin-top:0pt;height:42.75pt;width:158.25pt;mso-position-horizontal-relative:page;z-index:251660288;mso-width-relative:page;mso-height-relative:page;" fillcolor="#203864 [1608]" filled="t" stroked="f" coordsize="21600,21600" o:gfxdata="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w570dgAAAAIAQAADwAAAAAAAAABACAAAAAiAAAAZHJzL2Rvd25yZXYueG1sUEsBAhQAFAAA&#10;AAgAh07iQCM7WuphAgAAswQAAA4AAAAAAAAAAQAgAAAAJwEAAGRycy9lMm9Eb2MueG1sUEsFBgAA&#10;AAAGAAYAWQEAAPoFAAAAAA==&#10;">
                <v:fill on="t" focussize="0,0"/>
                <v:stroke on="f" weight="0.5pt"/>
                <v:imagedata o:title=""/>
                <o:lock v:ext="edit" aspectratio="f"/>
                <v:textbox>
                  <w:txbxContent>
                    <w:p>
                      <w:pPr>
                        <w:ind w:firstLine="160" w:firstLineChars="50"/>
                        <w:rPr>
                          <w:sz w:val="32"/>
                          <w:szCs w:val="32"/>
                        </w:rPr>
                      </w:pPr>
                      <w:r>
                        <w:rPr>
                          <w:rFonts w:hint="eastAsia" w:ascii="微软雅黑" w:hAnsi="微软雅黑" w:eastAsia="微软雅黑"/>
                          <w:b/>
                          <w:sz w:val="32"/>
                          <w:szCs w:val="32"/>
                        </w:rPr>
                        <w:t>博士项目</w:t>
                      </w:r>
                    </w:p>
                  </w:txbxContent>
                </v:textbox>
              </v:shape>
            </w:pict>
          </mc:Fallback>
        </mc:AlternateContent>
      </w:r>
      <w:r>
        <w:rPr>
          <w:rFonts w:hint="eastAsia" w:ascii="微软雅黑" w:hAnsi="微软雅黑" w:eastAsia="微软雅黑"/>
          <w:b/>
          <w:sz w:val="44"/>
          <w:szCs w:val="44"/>
          <w:lang w:bidi="mn-Mong-CN"/>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0</wp:posOffset>
                </wp:positionV>
                <wp:extent cx="5619750" cy="542925"/>
                <wp:effectExtent l="0" t="0" r="0" b="9525"/>
                <wp:wrapNone/>
                <wp:docPr id="9" name="文本框 9"/>
                <wp:cNvGraphicFramePr/>
                <a:graphic xmlns:a="http://schemas.openxmlformats.org/drawingml/2006/main">
                  <a:graphicData uri="http://schemas.microsoft.com/office/word/2010/wordprocessingShape">
                    <wps:wsp>
                      <wps:cNvSpPr txBox="1"/>
                      <wps:spPr>
                        <a:xfrm>
                          <a:off x="0" y="0"/>
                          <a:ext cx="5619750" cy="542925"/>
                        </a:xfrm>
                        <a:prstGeom prst="rect">
                          <a:avLst/>
                        </a:prstGeom>
                        <a:solidFill>
                          <a:srgbClr val="C00000"/>
                        </a:solidFill>
                        <a:ln w="6350">
                          <a:noFill/>
                        </a:ln>
                      </wps:spPr>
                      <wps:txbx>
                        <w:txbxContent>
                          <w:p>
                            <w:pPr>
                              <w:jc w:val="center"/>
                              <w:rPr>
                                <w:rFonts w:ascii="华文新魏" w:hAnsi="微软雅黑" w:eastAsia="华文新魏"/>
                                <w:b/>
                                <w:color w:val="FFFFFF" w:themeColor="background1"/>
                                <w:sz w:val="44"/>
                                <w:szCs w:val="44"/>
                                <w14:textFill>
                                  <w14:solidFill>
                                    <w14:schemeClr w14:val="bg1"/>
                                  </w14:solidFill>
                                </w14:textFill>
                              </w:rPr>
                            </w:pPr>
                            <w:r>
                              <w:rPr>
                                <w:rFonts w:hint="eastAsia" w:ascii="华文新魏" w:hAnsi="微软雅黑" w:eastAsia="华文新魏"/>
                                <w:b/>
                                <w:color w:val="FFFFFF" w:themeColor="background1"/>
                                <w:sz w:val="44"/>
                                <w:szCs w:val="44"/>
                                <w14:textFill>
                                  <w14:solidFill>
                                    <w14:schemeClr w14:val="bg1"/>
                                  </w14:solidFill>
                                </w14:textFill>
                              </w:rPr>
                              <w:t>内蒙古艺术学院-</w:t>
                            </w:r>
                            <w:r>
                              <w:rPr>
                                <w:rFonts w:ascii="华文新魏" w:hAnsi="微软雅黑" w:eastAsia="华文新魏"/>
                                <w:b/>
                                <w:color w:val="FFFFFF" w:themeColor="background1"/>
                                <w:sz w:val="44"/>
                                <w:szCs w:val="44"/>
                                <w14:textFill>
                                  <w14:solidFill>
                                    <w14:schemeClr w14:val="bg1"/>
                                  </w14:solidFill>
                                </w14:textFill>
                              </w:rPr>
                              <w:t>启明大学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42.75pt;width:442.5pt;mso-position-horizontal:left;mso-position-horizontal-relative:page;z-index:251659264;mso-width-relative:page;mso-height-relative:page;" fillcolor="#C00000" filled="t" stroked="f" coordsize="21600,21600" o:gfxdata="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4Ekkh0QAAAAQBAAAPAAAAAAAAAAEA&#10;IAAAACIAAABkcnMvZG93bnJldi54bWxQSwECFAAUAAAACACHTuJAKfaYkk8CAACPBAAADgAAAAAA&#10;AAABACAAAAAgAQAAZHJzL2Uyb0RvYy54bWxQSwUGAAAAAAYABgBZAQAA4QUAAAAA&#10;">
                <v:fill on="t" focussize="0,0"/>
                <v:stroke on="f" weight="0.5pt"/>
                <v:imagedata o:title=""/>
                <o:lock v:ext="edit" aspectratio="f"/>
                <v:textbox>
                  <w:txbxContent>
                    <w:p>
                      <w:pPr>
                        <w:jc w:val="center"/>
                        <w:rPr>
                          <w:rFonts w:ascii="华文新魏" w:hAnsi="微软雅黑" w:eastAsia="华文新魏"/>
                          <w:b/>
                          <w:color w:val="FFFFFF" w:themeColor="background1"/>
                          <w:sz w:val="44"/>
                          <w:szCs w:val="44"/>
                          <w14:textFill>
                            <w14:solidFill>
                              <w14:schemeClr w14:val="bg1"/>
                            </w14:solidFill>
                          </w14:textFill>
                        </w:rPr>
                      </w:pPr>
                      <w:r>
                        <w:rPr>
                          <w:rFonts w:hint="eastAsia" w:ascii="华文新魏" w:hAnsi="微软雅黑" w:eastAsia="华文新魏"/>
                          <w:b/>
                          <w:color w:val="FFFFFF" w:themeColor="background1"/>
                          <w:sz w:val="44"/>
                          <w:szCs w:val="44"/>
                          <w14:textFill>
                            <w14:solidFill>
                              <w14:schemeClr w14:val="bg1"/>
                            </w14:solidFill>
                          </w14:textFill>
                        </w:rPr>
                        <w:t>内蒙古艺术学院-</w:t>
                      </w:r>
                      <w:r>
                        <w:rPr>
                          <w:rFonts w:ascii="华文新魏" w:hAnsi="微软雅黑" w:eastAsia="华文新魏"/>
                          <w:b/>
                          <w:color w:val="FFFFFF" w:themeColor="background1"/>
                          <w:sz w:val="44"/>
                          <w:szCs w:val="44"/>
                          <w14:textFill>
                            <w14:solidFill>
                              <w14:schemeClr w14:val="bg1"/>
                            </w14:solidFill>
                          </w14:textFill>
                        </w:rPr>
                        <w:t>启明大学</w:t>
                      </w:r>
                    </w:p>
                  </w:txbxContent>
                </v:textbox>
              </v:shape>
            </w:pict>
          </mc:Fallback>
        </mc:AlternateContent>
      </w:r>
      <w:bookmarkStart w:id="0" w:name="_Hlk501902441"/>
      <w:bookmarkEnd w:id="0"/>
      <w:r>
        <w:rPr>
          <w:rFonts w:ascii="微软雅黑" w:hAnsi="微软雅黑" w:eastAsia="微软雅黑"/>
          <w:b/>
          <w:sz w:val="44"/>
          <w:szCs w:val="44"/>
        </w:rPr>
        <w:t xml:space="preserve"> </w:t>
      </w:r>
      <w:r>
        <w:rPr>
          <w:rFonts w:hint="eastAsia" w:ascii="微软雅黑" w:hAnsi="微软雅黑" w:eastAsia="微软雅黑"/>
          <w:b/>
          <w:sz w:val="44"/>
          <w:szCs w:val="44"/>
        </w:rPr>
        <w:t xml:space="preserve"> </w:t>
      </w:r>
      <w:r>
        <w:rPr>
          <w:rFonts w:ascii="微软雅黑" w:hAnsi="微软雅黑" w:eastAsia="微软雅黑"/>
          <w:b/>
          <w:sz w:val="44"/>
          <w:szCs w:val="44"/>
        </w:rPr>
        <w:t xml:space="preserve">      </w:t>
      </w:r>
    </w:p>
    <w:p>
      <w:pPr>
        <w:jc w:val="center"/>
        <w:rPr>
          <w:rFonts w:ascii="微软雅黑" w:hAnsi="微软雅黑" w:eastAsia="微软雅黑"/>
          <w:b/>
          <w:sz w:val="28"/>
          <w:szCs w:val="28"/>
        </w:rPr>
      </w:pPr>
      <w:r>
        <w:rPr>
          <w:rFonts w:ascii="微软雅黑" w:hAnsi="微软雅黑" w:eastAsia="微软雅黑"/>
          <w:b/>
          <w:sz w:val="44"/>
          <w:szCs w:val="44"/>
        </w:rPr>
        <w:t xml:space="preserve">        </w:t>
      </w:r>
    </w:p>
    <w:p>
      <w:pPr>
        <w:rPr>
          <w:b/>
          <w:sz w:val="24"/>
          <w:szCs w:val="24"/>
        </w:rPr>
      </w:pPr>
      <w:r>
        <w:rPr>
          <w:rFonts w:hint="eastAsia"/>
          <w:b/>
          <w:sz w:val="24"/>
          <w:szCs w:val="24"/>
        </w:rPr>
        <w:t>*为受韩国政府巨额投资的国家级重点系部</w:t>
      </w:r>
    </w:p>
    <w:tbl>
      <w:tblPr>
        <w:tblStyle w:val="21"/>
        <w:tblW w:w="10627" w:type="dxa"/>
        <w:jc w:val="cente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Layout w:type="autofit"/>
        <w:tblCellMar>
          <w:top w:w="0" w:type="dxa"/>
          <w:left w:w="108" w:type="dxa"/>
          <w:bottom w:w="0" w:type="dxa"/>
          <w:right w:w="108" w:type="dxa"/>
        </w:tblCellMar>
      </w:tblPr>
      <w:tblGrid>
        <w:gridCol w:w="3256"/>
        <w:gridCol w:w="7371"/>
      </w:tblGrid>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3256" w:type="dxa"/>
            <w:tcBorders>
              <w:top w:val="single" w:color="70AD47" w:themeColor="accent6" w:sz="4" w:space="0"/>
              <w:left w:val="single" w:color="70AD47" w:themeColor="accent6" w:sz="4" w:space="0"/>
              <w:bottom w:val="single" w:color="70AD47" w:themeColor="accent6" w:sz="4" w:space="0"/>
              <w:right w:val="nil"/>
              <w:insideH w:val="single" w:sz="4" w:space="0"/>
              <w:insideV w:val="nil"/>
            </w:tcBorders>
            <w:shd w:val="clear" w:color="auto" w:fill="70AD47" w:themeFill="accent6"/>
          </w:tcPr>
          <w:p>
            <w:pPr>
              <w:jc w:val="center"/>
              <w:rPr>
                <w:b/>
                <w:bCs/>
                <w:color w:val="FFFFFF" w:themeColor="background1"/>
                <w:sz w:val="24"/>
                <w:szCs w:val="24"/>
                <w14:textFill>
                  <w14:solidFill>
                    <w14:schemeClr w14:val="bg1"/>
                  </w14:solidFill>
                </w14:textFill>
              </w:rPr>
            </w:pPr>
            <w:r>
              <w:rPr>
                <w:rFonts w:hint="eastAsia"/>
                <w:b/>
                <w:bCs/>
                <w:color w:val="FFFFFF" w:themeColor="background1"/>
                <w:sz w:val="24"/>
                <w:szCs w:val="24"/>
                <w14:textFill>
                  <w14:solidFill>
                    <w14:schemeClr w14:val="bg1"/>
                  </w14:solidFill>
                </w14:textFill>
              </w:rPr>
              <w:t>内蒙古艺术学院硕士研究生专业</w:t>
            </w:r>
          </w:p>
        </w:tc>
        <w:tc>
          <w:tcPr>
            <w:tcW w:w="7371" w:type="dxa"/>
            <w:tcBorders>
              <w:top w:val="single" w:color="70AD47" w:themeColor="accent6" w:sz="4" w:space="0"/>
              <w:bottom w:val="single" w:color="70AD47" w:themeColor="accent6" w:sz="4" w:space="0"/>
              <w:right w:val="single" w:color="70AD47" w:themeColor="accent6" w:sz="4" w:space="0"/>
              <w:insideH w:val="single" w:sz="4" w:space="0"/>
              <w:insideV w:val="nil"/>
            </w:tcBorders>
            <w:shd w:val="clear" w:color="auto" w:fill="70AD47" w:themeFill="accent6"/>
          </w:tcPr>
          <w:p>
            <w:pPr>
              <w:jc w:val="center"/>
              <w:rPr>
                <w:b/>
                <w:bCs/>
                <w:color w:val="FFFFFF" w:themeColor="background1"/>
                <w:sz w:val="24"/>
                <w:szCs w:val="24"/>
                <w14:textFill>
                  <w14:solidFill>
                    <w14:schemeClr w14:val="bg1"/>
                  </w14:solidFill>
                </w14:textFill>
              </w:rPr>
            </w:pPr>
            <w:r>
              <w:rPr>
                <w:rFonts w:hint="eastAsia"/>
                <w:b/>
                <w:bCs/>
                <w:color w:val="FFFFFF" w:themeColor="background1"/>
                <w:sz w:val="24"/>
                <w:szCs w:val="24"/>
                <w14:textFill>
                  <w14:solidFill>
                    <w14:schemeClr w14:val="bg1"/>
                  </w14:solidFill>
                </w14:textFill>
              </w:rPr>
              <w:t>启明大学博士研究生专业</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jc w:val="center"/>
        </w:trPr>
        <w:tc>
          <w:tcPr>
            <w:tcW w:w="3256" w:type="dxa"/>
            <w:shd w:val="clear" w:color="auto" w:fill="E2EFD9" w:themeFill="accent6" w:themeFillTint="33"/>
            <w:vAlign w:val="center"/>
          </w:tcPr>
          <w:p>
            <w:pPr>
              <w:jc w:val="center"/>
              <w:rPr>
                <w:b w:val="0"/>
                <w:bCs/>
                <w:sz w:val="24"/>
                <w:szCs w:val="24"/>
              </w:rPr>
            </w:pPr>
            <w:bookmarkStart w:id="1" w:name="_Hlk525139007"/>
            <w:r>
              <w:rPr>
                <w:rFonts w:hint="eastAsia"/>
                <w:b w:val="0"/>
                <w:bCs w:val="0"/>
                <w:sz w:val="24"/>
                <w:szCs w:val="24"/>
              </w:rPr>
              <w:t>艺术学理论</w:t>
            </w:r>
          </w:p>
          <w:p>
            <w:pPr>
              <w:jc w:val="center"/>
              <w:rPr>
                <w:b w:val="0"/>
                <w:bCs/>
                <w:sz w:val="24"/>
                <w:szCs w:val="24"/>
              </w:rPr>
            </w:pPr>
            <w:r>
              <w:rPr>
                <w:rFonts w:hint="eastAsia"/>
                <w:b w:val="0"/>
                <w:bCs w:val="0"/>
                <w:sz w:val="24"/>
                <w:szCs w:val="24"/>
              </w:rPr>
              <w:t>音乐与舞蹈学</w:t>
            </w:r>
          </w:p>
          <w:p>
            <w:pPr>
              <w:jc w:val="center"/>
              <w:rPr>
                <w:b w:val="0"/>
                <w:bCs/>
                <w:sz w:val="24"/>
                <w:szCs w:val="24"/>
              </w:rPr>
            </w:pPr>
            <w:r>
              <w:rPr>
                <w:rFonts w:hint="eastAsia"/>
                <w:b w:val="0"/>
                <w:bCs w:val="0"/>
                <w:sz w:val="24"/>
                <w:szCs w:val="24"/>
              </w:rPr>
              <w:t>音乐</w:t>
            </w:r>
          </w:p>
          <w:p>
            <w:pPr>
              <w:jc w:val="center"/>
              <w:rPr>
                <w:b w:val="0"/>
                <w:bCs w:val="0"/>
                <w:sz w:val="24"/>
                <w:szCs w:val="24"/>
              </w:rPr>
            </w:pPr>
            <w:r>
              <w:rPr>
                <w:rFonts w:hint="eastAsia"/>
                <w:b w:val="0"/>
                <w:bCs w:val="0"/>
                <w:sz w:val="24"/>
                <w:szCs w:val="24"/>
              </w:rPr>
              <w:t>舞蹈</w:t>
            </w:r>
          </w:p>
          <w:p>
            <w:pPr>
              <w:jc w:val="center"/>
              <w:rPr>
                <w:b w:val="0"/>
                <w:bCs/>
                <w:sz w:val="24"/>
                <w:szCs w:val="24"/>
              </w:rPr>
            </w:pPr>
          </w:p>
        </w:tc>
        <w:tc>
          <w:tcPr>
            <w:tcW w:w="7371" w:type="dxa"/>
            <w:shd w:val="clear" w:color="auto" w:fill="E2EFD9" w:themeFill="accent6" w:themeFillTint="33"/>
            <w:vAlign w:val="center"/>
          </w:tcPr>
          <w:p>
            <w:pPr>
              <w:jc w:val="left"/>
              <w:rPr>
                <w:b/>
                <w:sz w:val="24"/>
                <w:szCs w:val="24"/>
              </w:rPr>
            </w:pPr>
            <w:r>
              <w:rPr>
                <w:rFonts w:hint="eastAsia"/>
                <w:b/>
                <w:sz w:val="24"/>
                <w:szCs w:val="24"/>
              </w:rPr>
              <w:t>*音乐学科：音乐学</w:t>
            </w:r>
          </w:p>
          <w:p>
            <w:pPr>
              <w:jc w:val="left"/>
              <w:rPr>
                <w:b/>
                <w:sz w:val="24"/>
                <w:szCs w:val="24"/>
              </w:rPr>
            </w:pPr>
            <w:r>
              <w:rPr>
                <w:rFonts w:hint="eastAsia"/>
                <w:b/>
                <w:sz w:val="24"/>
                <w:szCs w:val="24"/>
              </w:rPr>
              <w:t>*艺术</w:t>
            </w:r>
            <w:r>
              <w:rPr>
                <w:b/>
                <w:sz w:val="24"/>
                <w:szCs w:val="24"/>
              </w:rPr>
              <w:t>治疗</w:t>
            </w:r>
            <w:r>
              <w:rPr>
                <w:rFonts w:hint="eastAsia"/>
                <w:b/>
                <w:sz w:val="24"/>
                <w:szCs w:val="24"/>
              </w:rPr>
              <w:t>学科：</w:t>
            </w:r>
          </w:p>
          <w:p>
            <w:pPr>
              <w:jc w:val="left"/>
              <w:rPr>
                <w:b/>
                <w:sz w:val="24"/>
                <w:szCs w:val="24"/>
              </w:rPr>
            </w:pPr>
            <w:r>
              <w:rPr>
                <w:rFonts w:hint="eastAsia"/>
                <w:b/>
                <w:sz w:val="24"/>
                <w:szCs w:val="24"/>
              </w:rPr>
              <w:t>综合</w:t>
            </w:r>
            <w:r>
              <w:rPr>
                <w:b/>
                <w:sz w:val="24"/>
                <w:szCs w:val="24"/>
              </w:rPr>
              <w:t>艺术治疗专业</w:t>
            </w:r>
            <w:r>
              <w:rPr>
                <w:rFonts w:hint="eastAsia"/>
                <w:b/>
                <w:sz w:val="24"/>
                <w:szCs w:val="24"/>
              </w:rPr>
              <w:t>，</w:t>
            </w:r>
            <w:r>
              <w:rPr>
                <w:b/>
                <w:sz w:val="24"/>
                <w:szCs w:val="24"/>
              </w:rPr>
              <w:t>音乐治疗专业</w:t>
            </w:r>
            <w:r>
              <w:rPr>
                <w:rFonts w:hint="eastAsia"/>
                <w:b/>
                <w:sz w:val="24"/>
                <w:szCs w:val="24"/>
              </w:rPr>
              <w:t>，</w:t>
            </w:r>
            <w:r>
              <w:rPr>
                <w:b/>
                <w:sz w:val="24"/>
                <w:szCs w:val="24"/>
              </w:rPr>
              <w:t>美术治疗专业</w:t>
            </w:r>
            <w:r>
              <w:rPr>
                <w:rFonts w:hint="eastAsia"/>
                <w:b/>
                <w:sz w:val="24"/>
                <w:szCs w:val="24"/>
              </w:rPr>
              <w:t>，运动治疗专业</w:t>
            </w:r>
          </w:p>
          <w:p>
            <w:pPr>
              <w:jc w:val="left"/>
              <w:rPr>
                <w:b/>
                <w:sz w:val="24"/>
                <w:szCs w:val="24"/>
              </w:rPr>
            </w:pPr>
            <w:r>
              <w:rPr>
                <w:rFonts w:hint="eastAsia"/>
                <w:b/>
                <w:sz w:val="24"/>
                <w:szCs w:val="24"/>
              </w:rPr>
              <w:t>*体育学科：</w:t>
            </w:r>
            <w:r>
              <w:rPr>
                <w:b/>
                <w:sz w:val="24"/>
                <w:szCs w:val="24"/>
              </w:rPr>
              <w:t>舞蹈专业</w:t>
            </w:r>
          </w:p>
          <w:p>
            <w:pPr>
              <w:jc w:val="left"/>
              <w:rPr>
                <w:b/>
                <w:sz w:val="24"/>
                <w:szCs w:val="24"/>
              </w:rPr>
            </w:pPr>
            <w:r>
              <w:rPr>
                <w:rFonts w:hint="eastAsia"/>
                <w:b/>
                <w:sz w:val="24"/>
                <w:szCs w:val="24"/>
              </w:rPr>
              <w:t>*融合教育学科（跨学科教育）：艺术（音乐）教育</w:t>
            </w:r>
          </w:p>
        </w:tc>
      </w:tr>
      <w:tr>
        <w:tblPrEx>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Ex>
        <w:trPr>
          <w:trHeight w:val="2825" w:hRule="atLeast"/>
          <w:jc w:val="center"/>
        </w:trPr>
        <w:tc>
          <w:tcPr>
            <w:tcW w:w="3256" w:type="dxa"/>
            <w:vAlign w:val="center"/>
          </w:tcPr>
          <w:p>
            <w:pPr>
              <w:jc w:val="center"/>
              <w:rPr>
                <w:b/>
                <w:bCs w:val="0"/>
                <w:sz w:val="24"/>
                <w:szCs w:val="24"/>
              </w:rPr>
            </w:pPr>
            <w:r>
              <w:rPr>
                <w:rFonts w:hint="eastAsia"/>
                <w:b w:val="0"/>
                <w:bCs/>
                <w:sz w:val="24"/>
                <w:szCs w:val="24"/>
              </w:rPr>
              <w:t>美术学</w:t>
            </w:r>
          </w:p>
          <w:p>
            <w:pPr>
              <w:jc w:val="center"/>
              <w:rPr>
                <w:b w:val="0"/>
                <w:bCs w:val="0"/>
                <w:sz w:val="24"/>
                <w:szCs w:val="24"/>
              </w:rPr>
            </w:pPr>
            <w:r>
              <w:rPr>
                <w:rFonts w:hint="eastAsia"/>
                <w:b w:val="0"/>
                <w:bCs w:val="0"/>
                <w:sz w:val="24"/>
                <w:szCs w:val="24"/>
              </w:rPr>
              <w:t>美术</w:t>
            </w:r>
          </w:p>
          <w:p>
            <w:pPr>
              <w:jc w:val="center"/>
              <w:rPr>
                <w:b w:val="0"/>
                <w:bCs/>
                <w:sz w:val="24"/>
                <w:szCs w:val="24"/>
              </w:rPr>
            </w:pPr>
            <w:r>
              <w:rPr>
                <w:rFonts w:hint="eastAsia"/>
                <w:b w:val="0"/>
                <w:bCs/>
                <w:sz w:val="24"/>
                <w:szCs w:val="24"/>
              </w:rPr>
              <w:t>艺术设计</w:t>
            </w:r>
          </w:p>
        </w:tc>
        <w:tc>
          <w:tcPr>
            <w:tcW w:w="7371" w:type="dxa"/>
            <w:vAlign w:val="center"/>
          </w:tcPr>
          <w:p>
            <w:pPr>
              <w:jc w:val="left"/>
              <w:rPr>
                <w:b/>
                <w:sz w:val="24"/>
                <w:szCs w:val="24"/>
              </w:rPr>
            </w:pPr>
            <w:r>
              <w:rPr>
                <w:rFonts w:hint="eastAsia"/>
                <w:b/>
                <w:sz w:val="24"/>
                <w:szCs w:val="24"/>
              </w:rPr>
              <w:t>*美术学科：美术专业、设计专业</w:t>
            </w:r>
          </w:p>
          <w:p>
            <w:pPr>
              <w:jc w:val="left"/>
              <w:rPr>
                <w:b/>
                <w:sz w:val="24"/>
                <w:szCs w:val="24"/>
              </w:rPr>
            </w:pPr>
            <w:r>
              <w:rPr>
                <w:rFonts w:hint="eastAsia"/>
                <w:b/>
                <w:sz w:val="24"/>
                <w:szCs w:val="24"/>
              </w:rPr>
              <w:t>*艺术史学科：艺术史专业</w:t>
            </w:r>
          </w:p>
          <w:p>
            <w:pPr>
              <w:jc w:val="left"/>
              <w:rPr>
                <w:b/>
                <w:sz w:val="24"/>
                <w:szCs w:val="24"/>
              </w:rPr>
            </w:pPr>
            <w:r>
              <w:rPr>
                <w:rFonts w:hint="eastAsia"/>
                <w:b/>
                <w:sz w:val="24"/>
                <w:szCs w:val="24"/>
              </w:rPr>
              <w:t>*</w:t>
            </w:r>
            <w:r>
              <w:rPr>
                <w:b/>
                <w:sz w:val="24"/>
                <w:szCs w:val="24"/>
              </w:rPr>
              <w:t>设计学</w:t>
            </w:r>
            <w:r>
              <w:rPr>
                <w:rFonts w:hint="eastAsia"/>
                <w:b/>
                <w:sz w:val="24"/>
                <w:szCs w:val="24"/>
              </w:rPr>
              <w:t>科：</w:t>
            </w:r>
          </w:p>
          <w:p>
            <w:pPr>
              <w:jc w:val="left"/>
              <w:rPr>
                <w:b/>
                <w:sz w:val="24"/>
                <w:szCs w:val="24"/>
              </w:rPr>
            </w:pPr>
            <w:r>
              <w:rPr>
                <w:rFonts w:hint="eastAsia"/>
                <w:b/>
                <w:sz w:val="24"/>
                <w:szCs w:val="24"/>
              </w:rPr>
              <w:t>工业设计专业，工艺设计专业，时装设计专业，纺织品设计专业</w:t>
            </w:r>
          </w:p>
          <w:p>
            <w:pPr>
              <w:jc w:val="left"/>
              <w:rPr>
                <w:b/>
                <w:sz w:val="24"/>
                <w:szCs w:val="24"/>
              </w:rPr>
            </w:pPr>
            <w:r>
              <w:rPr>
                <w:b/>
                <w:sz w:val="24"/>
                <w:szCs w:val="24"/>
              </w:rPr>
              <w:t>*融合教育学科（跨学科教育）：</w:t>
            </w:r>
            <w:r>
              <w:rPr>
                <w:rFonts w:hint="eastAsia"/>
                <w:b/>
                <w:sz w:val="24"/>
                <w:szCs w:val="24"/>
              </w:rPr>
              <w:t>艺术（设计）教育</w:t>
            </w:r>
          </w:p>
        </w:tc>
      </w:tr>
      <w:bookmarkEnd w:id="1"/>
    </w:tbl>
    <w:p>
      <w:pPr>
        <w:rPr>
          <w:rFonts w:hint="eastAsia"/>
          <w:b/>
          <w:sz w:val="24"/>
          <w:szCs w:val="24"/>
        </w:rPr>
      </w:pPr>
    </w:p>
    <w:p>
      <w:pPr>
        <w:rPr>
          <w:rFonts w:hint="eastAsia"/>
          <w:b/>
          <w:sz w:val="24"/>
          <w:szCs w:val="24"/>
        </w:rPr>
      </w:pPr>
      <w:r>
        <w:rPr>
          <w:rFonts w:hint="eastAsia"/>
          <w:b/>
          <w:sz w:val="24"/>
          <w:szCs w:val="24"/>
        </w:rPr>
        <w:t>*汽车机械工程、医学、药学、国际通商、经营管理、生物、时装设计、视觉设计、表演艺术、酒店观光、韩语及韩国国学、声乐、管弦乐、表演艺术、体育学等均为韩国国家级重点专业领域。</w:t>
      </w:r>
    </w:p>
    <w:p>
      <w:pPr>
        <w:rPr>
          <w:rFonts w:ascii="等线" w:hAnsi="等线" w:eastAsia="等线"/>
          <w:sz w:val="24"/>
          <w:szCs w:val="24"/>
        </w:rPr>
      </w:pPr>
    </w:p>
    <w:p>
      <w:pPr>
        <w:rPr>
          <w:b/>
          <w:sz w:val="24"/>
          <w:szCs w:val="24"/>
        </w:rPr>
      </w:pPr>
    </w:p>
    <w:p>
      <w:pPr>
        <w:jc w:val="center"/>
        <w:rPr>
          <w:rFonts w:ascii="等线" w:hAnsi="等线" w:eastAsia="等线"/>
          <w:b/>
          <w:sz w:val="36"/>
          <w:szCs w:val="36"/>
        </w:rPr>
      </w:pPr>
      <w:r>
        <w:rPr>
          <w:rFonts w:hint="eastAsia" w:ascii="等线" w:hAnsi="等线" w:eastAsia="等线"/>
          <w:b/>
          <w:sz w:val="36"/>
          <w:szCs w:val="36"/>
        </w:rPr>
        <w:t>启明大学博士研究生项目的优势</w:t>
      </w:r>
    </w:p>
    <w:p>
      <w:pPr>
        <w:pStyle w:val="9"/>
        <w:numPr>
          <w:numId w:val="0"/>
        </w:numPr>
        <w:ind w:leftChars="0" w:firstLine="480" w:firstLineChars="200"/>
        <w:rPr>
          <w:rFonts w:hint="eastAsia"/>
          <w:b/>
          <w:sz w:val="24"/>
          <w:szCs w:val="24"/>
        </w:rPr>
      </w:pPr>
      <w:r>
        <w:rPr>
          <w:rFonts w:hint="eastAsia"/>
          <w:sz w:val="24"/>
          <w:szCs w:val="24"/>
          <w:lang w:val="en-US" w:eastAsia="zh-CN"/>
        </w:rPr>
        <w:t>1.</w:t>
      </w:r>
      <w:r>
        <w:rPr>
          <w:rFonts w:hint="eastAsia"/>
          <w:sz w:val="24"/>
          <w:szCs w:val="24"/>
        </w:rPr>
        <w:t>内蒙古艺术学院与启明大学为友好姊妹学校，共同联合进行学生培养、学术研究和举办艺术交流活动等。两校专业绝大多数特别是艺术类可以无缝硕博契合对接，在内蒙古艺术学院完成硕士研究生的学习后，打好坚实的基本功，再赴海外精研深造，增加先进的国际学习经历，接触不同的文化和多元的艺术。</w:t>
      </w:r>
    </w:p>
    <w:p>
      <w:pPr>
        <w:pStyle w:val="9"/>
        <w:numPr>
          <w:numId w:val="0"/>
        </w:numPr>
        <w:ind w:leftChars="0" w:firstLine="480" w:firstLineChars="200"/>
        <w:rPr>
          <w:sz w:val="24"/>
          <w:szCs w:val="24"/>
        </w:rPr>
      </w:pPr>
      <w:r>
        <w:rPr>
          <w:rFonts w:hint="eastAsia"/>
          <w:b/>
          <w:sz w:val="24"/>
          <w:szCs w:val="24"/>
          <w:lang w:val="en-US" w:eastAsia="zh-CN"/>
        </w:rPr>
        <w:t>2.</w:t>
      </w:r>
      <w:r>
        <w:rPr>
          <w:rFonts w:hint="eastAsia"/>
          <w:b/>
          <w:sz w:val="24"/>
          <w:szCs w:val="24"/>
        </w:rPr>
        <w:t>由我校推荐报名并被录取的学生，博一首学期根据成绩可享受30%-50%学费减免的奖学金（不含语学堂预科），韩语水平T</w:t>
      </w:r>
      <w:r>
        <w:rPr>
          <w:b/>
          <w:sz w:val="24"/>
          <w:szCs w:val="24"/>
        </w:rPr>
        <w:t>OPIK</w:t>
      </w:r>
      <w:r>
        <w:rPr>
          <w:rFonts w:hint="eastAsia"/>
          <w:b/>
          <w:sz w:val="24"/>
          <w:szCs w:val="24"/>
        </w:rPr>
        <w:t>6级以上者还可申请100%全奖，全免学费。第二学期开始，如果每学期修读6学分以上且平均分80以上，仍然可按学期享受30%-100%奖学金，最多可享受4学期，成绩一般者可保有30%奖学金减免，有挂科情况的除外，通常可获得50%奖学金减免。</w:t>
      </w:r>
    </w:p>
    <w:p>
      <w:pPr>
        <w:pStyle w:val="9"/>
        <w:numPr>
          <w:numId w:val="0"/>
        </w:numPr>
        <w:ind w:leftChars="0" w:firstLine="480" w:firstLineChars="200"/>
        <w:rPr>
          <w:sz w:val="24"/>
          <w:szCs w:val="24"/>
        </w:rPr>
      </w:pPr>
      <w:r>
        <w:rPr>
          <w:rFonts w:hint="eastAsia"/>
          <w:sz w:val="24"/>
          <w:szCs w:val="24"/>
          <w:lang w:val="en-US" w:eastAsia="zh-CN"/>
        </w:rPr>
        <w:t>3.</w:t>
      </w:r>
      <w:r>
        <w:rPr>
          <w:rFonts w:hint="eastAsia"/>
          <w:sz w:val="24"/>
          <w:szCs w:val="24"/>
        </w:rPr>
        <w:t>我校已获得T</w:t>
      </w:r>
      <w:r>
        <w:rPr>
          <w:sz w:val="24"/>
          <w:szCs w:val="24"/>
        </w:rPr>
        <w:t>OPIK</w:t>
      </w:r>
      <w:r>
        <w:rPr>
          <w:rFonts w:hint="eastAsia"/>
          <w:sz w:val="24"/>
          <w:szCs w:val="24"/>
        </w:rPr>
        <w:t>3级以上水平证书的学生可直接申请博士并参加专业面试，未获得证书的学生可报名启明大学语学院课程，读至少3个短学期语学院课程后可凭启明导师推荐信免T</w:t>
      </w:r>
      <w:r>
        <w:rPr>
          <w:sz w:val="24"/>
          <w:szCs w:val="24"/>
        </w:rPr>
        <w:t>OPIK</w:t>
      </w:r>
      <w:r>
        <w:rPr>
          <w:rFonts w:hint="eastAsia"/>
          <w:sz w:val="24"/>
          <w:szCs w:val="24"/>
        </w:rPr>
        <w:t>3级成绩优先入学。</w:t>
      </w:r>
    </w:p>
    <w:p>
      <w:pPr>
        <w:pStyle w:val="9"/>
        <w:numPr>
          <w:numId w:val="0"/>
        </w:numPr>
        <w:ind w:leftChars="0" w:firstLine="480" w:firstLineChars="200"/>
        <w:rPr>
          <w:sz w:val="24"/>
          <w:szCs w:val="24"/>
        </w:rPr>
      </w:pPr>
      <w:r>
        <w:rPr>
          <w:rFonts w:hint="eastAsia"/>
          <w:sz w:val="24"/>
          <w:szCs w:val="24"/>
          <w:lang w:val="en-US" w:eastAsia="zh-CN"/>
        </w:rPr>
        <w:t>4.</w:t>
      </w:r>
      <w:r>
        <w:rPr>
          <w:rFonts w:hint="eastAsia"/>
          <w:sz w:val="24"/>
          <w:szCs w:val="24"/>
        </w:rPr>
        <w:t>从报名-面试-体检-录取-签证-机票安排-入学（含接送机）-校内宿舍优先预定（全校仅有2500个床位，韩国本地学生想申请需要非大邱市户籍并且成绩排全班前茅，我校学生可自由选择国际生2人间和韩国本地生3人间）-赴韩后关怀和日常管理，全方位一站式协助。</w:t>
      </w:r>
    </w:p>
    <w:p>
      <w:pPr>
        <w:rPr>
          <w:rFonts w:hint="eastAsia" w:ascii="等线" w:hAnsi="等线" w:eastAsia="等线"/>
          <w:b/>
          <w:sz w:val="36"/>
          <w:szCs w:val="36"/>
        </w:rPr>
      </w:pPr>
    </w:p>
    <w:p>
      <w:pPr>
        <w:jc w:val="center"/>
        <w:rPr>
          <w:rFonts w:hint="eastAsia" w:ascii="等线" w:hAnsi="等线" w:eastAsia="等线"/>
          <w:b/>
          <w:sz w:val="36"/>
          <w:szCs w:val="36"/>
        </w:rPr>
      </w:pPr>
      <w:r>
        <w:rPr>
          <w:rFonts w:hint="eastAsia" w:ascii="等线" w:hAnsi="等线" w:eastAsia="等线"/>
          <w:b/>
          <w:sz w:val="36"/>
          <w:szCs w:val="36"/>
        </w:rPr>
        <w:t>报名与录取流程</w:t>
      </w:r>
    </w:p>
    <w:p>
      <w:pPr>
        <w:rPr>
          <w:rFonts w:eastAsiaTheme="minorHAnsi"/>
          <w:sz w:val="24"/>
          <w:szCs w:val="24"/>
        </w:rPr>
      </w:pPr>
      <w:r>
        <w:rPr>
          <w:rFonts w:ascii="Arial Black" w:hAnsi="Arial Black" w:eastAsia="微软雅黑"/>
          <w:b/>
          <w:sz w:val="36"/>
          <w:szCs w:val="36"/>
        </w:rPr>
        <w:t>STEP1</w:t>
      </w:r>
      <w:r>
        <w:rPr>
          <w:rFonts w:ascii="Arial Black" w:hAnsi="Arial Black" w:eastAsia="微软雅黑"/>
          <w:b/>
          <w:sz w:val="24"/>
          <w:szCs w:val="24"/>
        </w:rPr>
        <w:t>:</w:t>
      </w:r>
      <w:r>
        <w:rPr>
          <w:rFonts w:eastAsiaTheme="minorHAnsi"/>
          <w:sz w:val="24"/>
          <w:szCs w:val="24"/>
        </w:rPr>
        <w:t xml:space="preserve"> </w:t>
      </w:r>
      <w:r>
        <w:rPr>
          <w:rFonts w:hint="eastAsia" w:eastAsiaTheme="minorHAnsi"/>
          <w:sz w:val="24"/>
          <w:szCs w:val="24"/>
        </w:rPr>
        <w:t>确认是否满足以下申请条件</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中国人（父母和本人均为中国国籍，不看户籍）</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内蒙古艺术学院硕士研究生在读应届生或毕业生。</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心理健康和身体健康（三观端正，性格良好，没有肺结核等易传染疾病）</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喜欢和各国学生和老师交流</w:t>
      </w:r>
    </w:p>
    <w:p>
      <w:pPr>
        <w:ind w:firstLine="480" w:firstLineChars="200"/>
        <w:jc w:val="left"/>
        <w:rPr>
          <w:rFonts w:eastAsiaTheme="minorHAnsi"/>
          <w:b/>
          <w:color w:val="203864" w:themeColor="accent5" w:themeShade="80"/>
          <w:sz w:val="24"/>
          <w:szCs w:val="24"/>
        </w:rPr>
      </w:pPr>
      <w:r>
        <w:rPr>
          <w:rFonts w:eastAsiaTheme="minorHAnsi"/>
          <w:b/>
          <w:color w:val="203864" w:themeColor="accent5" w:themeShade="80"/>
          <w:sz w:val="24"/>
          <w:szCs w:val="24"/>
        </w:rPr>
        <w:t>□</w:t>
      </w:r>
      <w:r>
        <w:rPr>
          <w:rFonts w:hint="eastAsia" w:eastAsiaTheme="minorHAnsi"/>
          <w:b/>
          <w:color w:val="203864" w:themeColor="accent5" w:themeShade="80"/>
          <w:sz w:val="24"/>
          <w:szCs w:val="24"/>
        </w:rPr>
        <w:t>假设在学生留学期间不打工的情况下，家庭能负担平均每年8万元人民币左右的吃、住、学、交通总费用</w:t>
      </w:r>
    </w:p>
    <w:p>
      <w:pPr>
        <w:ind w:firstLine="480" w:firstLineChars="200"/>
        <w:jc w:val="left"/>
        <w:rPr>
          <w:rFonts w:hint="eastAsia" w:eastAsiaTheme="minorHAnsi"/>
          <w:b/>
          <w:color w:val="203864" w:themeColor="accent5" w:themeShade="80"/>
          <w:sz w:val="24"/>
          <w:szCs w:val="24"/>
        </w:rPr>
      </w:pPr>
      <w:r>
        <w:rPr>
          <w:rFonts w:hint="eastAsia" w:eastAsiaTheme="minorHAnsi"/>
          <w:b/>
          <w:color w:val="203864" w:themeColor="accent5" w:themeShade="80"/>
          <w:sz w:val="24"/>
          <w:szCs w:val="24"/>
        </w:rPr>
        <w:t>□无犯罪记录或国家/领馆规定的不能办理护照或签证的情况</w:t>
      </w:r>
    </w:p>
    <w:p>
      <w:pPr>
        <w:ind w:firstLine="482" w:firstLineChars="200"/>
        <w:rPr>
          <w:rFonts w:hint="eastAsia" w:ascii="微软雅黑 Light" w:hAnsi="微软雅黑 Light" w:eastAsia="微软雅黑 Light"/>
          <w:b/>
          <w:sz w:val="24"/>
          <w:szCs w:val="24"/>
        </w:rPr>
      </w:pPr>
      <w:r>
        <w:rPr>
          <w:rFonts w:hint="eastAsia" w:ascii="微软雅黑 Light" w:hAnsi="微软雅黑 Light" w:eastAsia="微软雅黑 Light"/>
          <w:b/>
          <w:sz w:val="24"/>
          <w:szCs w:val="24"/>
        </w:rPr>
        <w:t>以上条件符合者均可申请。</w:t>
      </w:r>
    </w:p>
    <w:p>
      <w:pPr>
        <w:rPr>
          <w:rFonts w:eastAsiaTheme="minorHAnsi"/>
          <w:sz w:val="24"/>
          <w:szCs w:val="24"/>
        </w:rPr>
      </w:pPr>
      <w:bookmarkStart w:id="2" w:name="_Hlk501897327"/>
      <w:r>
        <w:rPr>
          <w:rFonts w:ascii="Arial Black" w:hAnsi="Arial Black" w:eastAsia="微软雅黑"/>
          <w:b/>
          <w:sz w:val="36"/>
          <w:szCs w:val="36"/>
        </w:rPr>
        <w:t>STEP2</w:t>
      </w:r>
      <w:bookmarkEnd w:id="2"/>
      <w:r>
        <w:rPr>
          <w:rFonts w:hint="eastAsia" w:eastAsiaTheme="minorHAnsi"/>
          <w:sz w:val="24"/>
          <w:szCs w:val="24"/>
        </w:rPr>
        <w:t>咨询、报名与签约</w:t>
      </w:r>
    </w:p>
    <w:p>
      <w:pPr>
        <w:ind w:firstLine="480" w:firstLineChars="200"/>
        <w:jc w:val="left"/>
        <w:rPr>
          <w:rFonts w:asciiTheme="minorEastAsia" w:hAnsiTheme="minorEastAsia"/>
          <w:sz w:val="24"/>
          <w:szCs w:val="24"/>
        </w:rPr>
      </w:pPr>
      <w:r>
        <w:rPr>
          <w:rFonts w:hint="eastAsia" w:asciiTheme="minorEastAsia" w:hAnsiTheme="minorEastAsia"/>
          <w:sz w:val="24"/>
          <w:szCs w:val="24"/>
        </w:rPr>
        <w:t>填写申请表，与启明大学中国招生办事处签订博士留学管理协议，开始准备各项申请材料（办理护照和统一做学历认证等）。学生汇款缴纳国际生留学管理费用的</w:t>
      </w:r>
      <w:r>
        <w:rPr>
          <w:rFonts w:asciiTheme="minorEastAsia" w:hAnsiTheme="minorEastAsia"/>
          <w:sz w:val="24"/>
          <w:szCs w:val="24"/>
        </w:rPr>
        <w:t>60%作为定金。</w:t>
      </w:r>
      <w:r>
        <w:rPr>
          <w:rFonts w:hint="eastAsia" w:asciiTheme="minorEastAsia" w:hAnsiTheme="minorEastAsia"/>
          <w:sz w:val="24"/>
          <w:szCs w:val="24"/>
        </w:rPr>
        <w:t>先申请语学院，读至少三个语学院短学期以上可免T</w:t>
      </w:r>
      <w:r>
        <w:rPr>
          <w:rFonts w:asciiTheme="minorEastAsia" w:hAnsiTheme="minorEastAsia"/>
          <w:sz w:val="24"/>
          <w:szCs w:val="24"/>
        </w:rPr>
        <w:t>OPIK</w:t>
      </w:r>
      <w:r>
        <w:rPr>
          <w:rFonts w:hint="eastAsia" w:asciiTheme="minorEastAsia" w:hAnsiTheme="minorEastAsia"/>
          <w:sz w:val="24"/>
          <w:szCs w:val="24"/>
        </w:rPr>
        <w:t>获得启明导师推荐信入学，有T</w:t>
      </w:r>
      <w:r>
        <w:rPr>
          <w:rFonts w:asciiTheme="minorEastAsia" w:hAnsiTheme="minorEastAsia"/>
          <w:sz w:val="24"/>
          <w:szCs w:val="24"/>
        </w:rPr>
        <w:t>OPIK</w:t>
      </w:r>
      <w:r>
        <w:rPr>
          <w:rFonts w:hint="eastAsia" w:asciiTheme="minorEastAsia" w:hAnsiTheme="minorEastAsia"/>
          <w:sz w:val="24"/>
          <w:szCs w:val="24"/>
        </w:rPr>
        <w:t>3级成绩的学生无需读语学院。</w:t>
      </w:r>
    </w:p>
    <w:p>
      <w:pPr>
        <w:ind w:firstLine="480" w:firstLineChars="200"/>
        <w:jc w:val="left"/>
        <w:rPr>
          <w:lang w:bidi="mn-Mong-CN"/>
        </w:rPr>
      </w:pPr>
      <w:r>
        <w:rPr>
          <w:rFonts w:hint="eastAsia" w:asciiTheme="minorEastAsia" w:hAnsiTheme="minorEastAsia"/>
          <w:sz w:val="24"/>
          <w:szCs w:val="24"/>
        </w:rPr>
        <w:t>备注：</w:t>
      </w:r>
      <w:r>
        <w:rPr>
          <w:rFonts w:asciiTheme="minorEastAsia" w:hAnsiTheme="minorEastAsia"/>
          <w:b/>
          <w:sz w:val="28"/>
          <w:szCs w:val="28"/>
        </w:rPr>
        <w:t>201</w:t>
      </w:r>
      <w:r>
        <w:rPr>
          <w:rFonts w:hint="eastAsia" w:asciiTheme="minorEastAsia" w:hAnsiTheme="minorEastAsia"/>
          <w:b/>
          <w:sz w:val="28"/>
          <w:szCs w:val="28"/>
        </w:rPr>
        <w:t>8</w:t>
      </w:r>
      <w:r>
        <w:rPr>
          <w:rFonts w:asciiTheme="minorEastAsia" w:hAnsiTheme="minorEastAsia"/>
          <w:b/>
          <w:sz w:val="28"/>
          <w:szCs w:val="28"/>
        </w:rPr>
        <w:t>年面向</w:t>
      </w:r>
      <w:r>
        <w:rPr>
          <w:rFonts w:hint="eastAsia" w:asciiTheme="minorEastAsia" w:hAnsiTheme="minorEastAsia"/>
          <w:b/>
          <w:sz w:val="28"/>
          <w:szCs w:val="28"/>
        </w:rPr>
        <w:t>外国留学生</w:t>
      </w:r>
      <w:r>
        <w:rPr>
          <w:rFonts w:asciiTheme="minorEastAsia" w:hAnsiTheme="minorEastAsia"/>
          <w:b/>
          <w:sz w:val="28"/>
          <w:szCs w:val="28"/>
        </w:rPr>
        <w:t>招生</w:t>
      </w:r>
      <w:r>
        <w:rPr>
          <w:rFonts w:hint="eastAsia" w:asciiTheme="minorEastAsia" w:hAnsiTheme="minorEastAsia"/>
          <w:b/>
          <w:sz w:val="28"/>
          <w:szCs w:val="28"/>
        </w:rPr>
        <w:t>博士</w:t>
      </w:r>
      <w:r>
        <w:rPr>
          <w:rFonts w:asciiTheme="minorEastAsia" w:hAnsiTheme="minorEastAsia"/>
          <w:b/>
          <w:sz w:val="28"/>
          <w:szCs w:val="28"/>
        </w:rPr>
        <w:t>专业目录</w:t>
      </w:r>
      <w:r>
        <w:rPr>
          <w:rFonts w:hint="eastAsia" w:asciiTheme="minorEastAsia" w:hAnsiTheme="minorEastAsia"/>
          <w:b/>
          <w:sz w:val="28"/>
          <w:szCs w:val="28"/>
        </w:rPr>
        <w:t>（见P</w:t>
      </w:r>
      <w:r>
        <w:rPr>
          <w:rFonts w:asciiTheme="minorEastAsia" w:hAnsiTheme="minorEastAsia"/>
          <w:b/>
          <w:sz w:val="28"/>
          <w:szCs w:val="28"/>
        </w:rPr>
        <w:t>h.D</w:t>
      </w:r>
      <w:r>
        <w:rPr>
          <w:rFonts w:hint="eastAsia" w:asciiTheme="minorEastAsia" w:hAnsiTheme="minorEastAsia"/>
          <w:b/>
          <w:sz w:val="28"/>
          <w:szCs w:val="28"/>
        </w:rPr>
        <w:t>一栏</w:t>
      </w:r>
      <w:r>
        <w:rPr>
          <w:rFonts w:asciiTheme="minorEastAsia" w:hAnsiTheme="minorEastAsia"/>
          <w:b/>
          <w:sz w:val="28"/>
          <w:szCs w:val="28"/>
        </w:rPr>
        <w:t>）</w:t>
      </w:r>
    </w:p>
    <w:p>
      <w:pPr>
        <w:jc w:val="left"/>
        <w:rPr>
          <w:rFonts w:asciiTheme="minorEastAsia" w:hAnsiTheme="minorEastAsia"/>
          <w:sz w:val="24"/>
          <w:szCs w:val="24"/>
        </w:rPr>
      </w:pPr>
      <w:r>
        <w:rPr>
          <w:lang w:bidi="mn-Mong-CN"/>
        </w:rPr>
        <w:drawing>
          <wp:inline distT="0" distB="0" distL="0" distR="0">
            <wp:extent cx="6188710" cy="4756785"/>
            <wp:effectExtent l="0" t="0" r="254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6188710" cy="4757048"/>
                    </a:xfrm>
                    <a:prstGeom prst="rect">
                      <a:avLst/>
                    </a:prstGeom>
                  </pic:spPr>
                </pic:pic>
              </a:graphicData>
            </a:graphic>
          </wp:inline>
        </w:drawing>
      </w:r>
    </w:p>
    <w:p>
      <w:pPr>
        <w:rPr>
          <w:rFonts w:ascii="等线" w:hAnsi="等线" w:eastAsia="等线"/>
        </w:rPr>
      </w:pPr>
    </w:p>
    <w:p>
      <w:pPr>
        <w:rPr>
          <w:rFonts w:eastAsiaTheme="minorHAnsi"/>
          <w:color w:val="C00000"/>
          <w:sz w:val="24"/>
          <w:szCs w:val="24"/>
        </w:rPr>
      </w:pPr>
      <w:r>
        <w:rPr>
          <w:lang w:bidi="mn-Mong-CN"/>
        </w:rPr>
        <w:drawing>
          <wp:inline distT="0" distB="0" distL="0" distR="0">
            <wp:extent cx="5485765" cy="614299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510169" cy="6170537"/>
                    </a:xfrm>
                    <a:prstGeom prst="rect">
                      <a:avLst/>
                    </a:prstGeom>
                  </pic:spPr>
                </pic:pic>
              </a:graphicData>
            </a:graphic>
          </wp:inline>
        </w:drawing>
      </w:r>
    </w:p>
    <w:p>
      <w:pPr>
        <w:rPr>
          <w:rFonts w:eastAsiaTheme="minorHAnsi"/>
          <w:color w:val="C00000"/>
          <w:sz w:val="24"/>
          <w:szCs w:val="24"/>
        </w:rPr>
      </w:pPr>
      <w:r>
        <w:rPr>
          <w:lang w:bidi="mn-Mong-CN"/>
        </w:rPr>
        <w:drawing>
          <wp:inline distT="0" distB="0" distL="0" distR="0">
            <wp:extent cx="5809615" cy="7553325"/>
            <wp:effectExtent l="0" t="0" r="63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5825695" cy="7574231"/>
                    </a:xfrm>
                    <a:prstGeom prst="rect">
                      <a:avLst/>
                    </a:prstGeom>
                  </pic:spPr>
                </pic:pic>
              </a:graphicData>
            </a:graphic>
          </wp:inline>
        </w:drawing>
      </w:r>
    </w:p>
    <w:p>
      <w:pPr>
        <w:rPr>
          <w:rFonts w:ascii="Arial Black" w:hAnsi="Arial Black" w:eastAsia="微软雅黑"/>
          <w:b/>
          <w:sz w:val="36"/>
          <w:szCs w:val="36"/>
        </w:rPr>
      </w:pPr>
      <w:r>
        <w:rPr>
          <w:lang w:bidi="mn-Mong-CN"/>
        </w:rPr>
        <w:drawing>
          <wp:inline distT="0" distB="0" distL="0" distR="0">
            <wp:extent cx="5600700" cy="68199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a:stretch>
                      <a:fillRect/>
                    </a:stretch>
                  </pic:blipFill>
                  <pic:spPr>
                    <a:xfrm>
                      <a:off x="0" y="0"/>
                      <a:ext cx="5600700" cy="6819900"/>
                    </a:xfrm>
                    <a:prstGeom prst="rect">
                      <a:avLst/>
                    </a:prstGeom>
                  </pic:spPr>
                </pic:pic>
              </a:graphicData>
            </a:graphic>
          </wp:inline>
        </w:drawing>
      </w:r>
    </w:p>
    <w:p>
      <w:pPr>
        <w:rPr>
          <w:rFonts w:ascii="Arial Black" w:hAnsi="Arial Black" w:eastAsia="微软雅黑"/>
          <w:b/>
          <w:sz w:val="36"/>
          <w:szCs w:val="36"/>
        </w:rPr>
      </w:pPr>
      <w:r>
        <w:rPr>
          <w:lang w:bidi="mn-Mong-CN"/>
        </w:rPr>
        <w:drawing>
          <wp:inline distT="0" distB="0" distL="0" distR="0">
            <wp:extent cx="5743575" cy="729615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5743575" cy="7296150"/>
                    </a:xfrm>
                    <a:prstGeom prst="rect">
                      <a:avLst/>
                    </a:prstGeom>
                  </pic:spPr>
                </pic:pic>
              </a:graphicData>
            </a:graphic>
          </wp:inline>
        </w:drawing>
      </w:r>
    </w:p>
    <w:p>
      <w:pPr>
        <w:rPr>
          <w:rFonts w:ascii="Arial Black" w:hAnsi="Arial Black" w:eastAsia="微软雅黑"/>
          <w:b/>
          <w:sz w:val="36"/>
          <w:szCs w:val="36"/>
        </w:rPr>
      </w:pPr>
      <w:r>
        <w:rPr>
          <w:lang w:bidi="mn-Mong-CN"/>
        </w:rPr>
        <w:drawing>
          <wp:inline distT="0" distB="0" distL="0" distR="0">
            <wp:extent cx="5534025" cy="72294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5534025" cy="7229475"/>
                    </a:xfrm>
                    <a:prstGeom prst="rect">
                      <a:avLst/>
                    </a:prstGeom>
                  </pic:spPr>
                </pic:pic>
              </a:graphicData>
            </a:graphic>
          </wp:inline>
        </w:drawing>
      </w:r>
    </w:p>
    <w:p>
      <w:pPr>
        <w:jc w:val="left"/>
        <w:rPr>
          <w:rFonts w:asciiTheme="minorEastAsia" w:hAnsiTheme="minorEastAsia"/>
          <w:sz w:val="24"/>
          <w:szCs w:val="24"/>
        </w:rPr>
      </w:pPr>
    </w:p>
    <w:p>
      <w:pPr>
        <w:jc w:val="left"/>
        <w:rPr>
          <w:rFonts w:eastAsiaTheme="minorHAnsi"/>
          <w:sz w:val="24"/>
          <w:szCs w:val="24"/>
        </w:rPr>
      </w:pPr>
      <w:bookmarkStart w:id="3" w:name="_Hlk501898404"/>
      <w:r>
        <w:rPr>
          <w:rFonts w:ascii="Arial Black" w:hAnsi="Arial Black" w:eastAsia="微软雅黑"/>
          <w:b/>
          <w:sz w:val="36"/>
          <w:szCs w:val="36"/>
        </w:rPr>
        <w:t>STEP</w:t>
      </w:r>
      <w:bookmarkEnd w:id="3"/>
      <w:r>
        <w:rPr>
          <w:rFonts w:hint="eastAsia" w:ascii="Arial Black" w:hAnsi="Arial Black" w:eastAsia="微软雅黑"/>
          <w:b/>
          <w:sz w:val="36"/>
          <w:szCs w:val="36"/>
        </w:rPr>
        <w:t>3</w:t>
      </w:r>
      <w:r>
        <w:rPr>
          <w:rFonts w:hint="eastAsia" w:eastAsiaTheme="minorHAnsi"/>
          <w:sz w:val="24"/>
          <w:szCs w:val="24"/>
        </w:rPr>
        <w:t>体检、签证、出行与入学</w:t>
      </w:r>
    </w:p>
    <w:p>
      <w:pPr>
        <w:ind w:firstLine="480" w:firstLineChars="200"/>
        <w:rPr>
          <w:rFonts w:hint="eastAsia" w:eastAsiaTheme="minorHAnsi"/>
          <w:sz w:val="24"/>
          <w:szCs w:val="24"/>
        </w:rPr>
      </w:pPr>
      <w:r>
        <w:rPr>
          <w:rFonts w:hint="eastAsia" w:eastAsiaTheme="minorHAnsi"/>
          <w:sz w:val="24"/>
          <w:szCs w:val="24"/>
        </w:rPr>
        <w:t>启明大学中国招生办事处统一预订机票、复核并修改学生填写的签证申请表，统一安排学生于户籍所在省份归属领区的韩国领事馆办理办理</w:t>
      </w:r>
      <w:r>
        <w:rPr>
          <w:rFonts w:eastAsiaTheme="minorHAnsi"/>
          <w:sz w:val="24"/>
          <w:szCs w:val="24"/>
        </w:rPr>
        <w:t>D-2</w:t>
      </w:r>
      <w:r>
        <w:rPr>
          <w:rFonts w:hint="eastAsia" w:eastAsiaTheme="minorHAnsi"/>
          <w:sz w:val="24"/>
          <w:szCs w:val="24"/>
        </w:rPr>
        <w:t>学生签证（2年）/无韩语基础需读语言先行课程的学生先办理</w:t>
      </w:r>
      <w:r>
        <w:rPr>
          <w:rFonts w:eastAsiaTheme="minorHAnsi"/>
          <w:sz w:val="24"/>
          <w:szCs w:val="24"/>
        </w:rPr>
        <w:t>D-4语言学生签证</w:t>
      </w:r>
      <w:r>
        <w:rPr>
          <w:rFonts w:hint="eastAsia" w:eastAsiaTheme="minorHAnsi"/>
          <w:sz w:val="24"/>
          <w:szCs w:val="24"/>
        </w:rPr>
        <w:t>，转博</w:t>
      </w:r>
      <w:r>
        <w:rPr>
          <w:rFonts w:eastAsiaTheme="minorHAnsi"/>
          <w:sz w:val="24"/>
          <w:szCs w:val="24"/>
        </w:rPr>
        <w:t>后在韩国由学校统一办理转D-2签证</w:t>
      </w:r>
      <w:r>
        <w:rPr>
          <w:rFonts w:hint="eastAsia" w:eastAsiaTheme="minorHAnsi"/>
          <w:sz w:val="24"/>
          <w:szCs w:val="24"/>
        </w:rPr>
        <w:t>。出发前一天统一安排专车接学生到出发城市指定酒店免费住宿，做行前说明，发放韩国专用电源转换插头，次日统一出发去机场出行，到达后安排大巴统一接至启明大学住宿，安顿和采购日用品，了解和熟悉学校的各种设施。学生参加迎新活动。</w:t>
      </w:r>
    </w:p>
    <w:p>
      <w:pPr>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4</w:t>
      </w:r>
      <w:r>
        <w:rPr>
          <w:rFonts w:hint="eastAsia" w:eastAsiaTheme="minorHAnsi"/>
          <w:sz w:val="24"/>
          <w:szCs w:val="24"/>
        </w:rPr>
        <w:t>语学院转博士申请</w:t>
      </w:r>
    </w:p>
    <w:p>
      <w:pPr>
        <w:ind w:firstLine="480" w:firstLineChars="200"/>
        <w:rPr>
          <w:rFonts w:hint="eastAsia" w:eastAsiaTheme="minorHAnsi"/>
          <w:sz w:val="24"/>
          <w:szCs w:val="24"/>
        </w:rPr>
      </w:pPr>
      <w:r>
        <w:rPr>
          <w:rFonts w:hint="eastAsia" w:asciiTheme="minorEastAsia" w:hAnsiTheme="minorEastAsia"/>
          <w:sz w:val="24"/>
          <w:szCs w:val="24"/>
        </w:rPr>
        <w:t>每年</w:t>
      </w:r>
      <w:r>
        <w:rPr>
          <w:rFonts w:hint="eastAsia" w:eastAsiaTheme="minorHAnsi"/>
          <w:sz w:val="24"/>
          <w:szCs w:val="24"/>
        </w:rPr>
        <w:t>5和11月之前准备好博士申请材料，在读语学堂期间参加春季或秋季入学的博士入学面试，安排导师进行专业面试。</w:t>
      </w:r>
    </w:p>
    <w:p>
      <w:pPr>
        <w:rPr>
          <w:rFonts w:eastAsiaTheme="minorHAnsi"/>
          <w:sz w:val="24"/>
          <w:szCs w:val="24"/>
        </w:rPr>
      </w:pPr>
      <w:r>
        <w:rPr>
          <w:rFonts w:ascii="Arial Black" w:hAnsi="Arial Black" w:eastAsia="微软雅黑"/>
          <w:b/>
          <w:sz w:val="36"/>
          <w:szCs w:val="36"/>
        </w:rPr>
        <w:t>STEP</w:t>
      </w:r>
      <w:r>
        <w:rPr>
          <w:rFonts w:hint="eastAsia" w:ascii="Arial Black" w:hAnsi="Arial Black" w:eastAsia="微软雅黑"/>
          <w:b/>
          <w:sz w:val="36"/>
          <w:szCs w:val="36"/>
        </w:rPr>
        <w:t>5</w:t>
      </w:r>
      <w:r>
        <w:rPr>
          <w:rFonts w:ascii="Arial Black" w:hAnsi="Arial Black" w:eastAsia="微软雅黑"/>
          <w:b/>
          <w:sz w:val="36"/>
          <w:szCs w:val="36"/>
        </w:rPr>
        <w:t xml:space="preserve"> </w:t>
      </w:r>
      <w:r>
        <w:rPr>
          <w:rFonts w:hint="eastAsia" w:eastAsiaTheme="minorHAnsi"/>
          <w:sz w:val="24"/>
          <w:szCs w:val="24"/>
        </w:rPr>
        <w:t>留学后管理（</w:t>
      </w:r>
      <w:r>
        <w:rPr>
          <w:rFonts w:hint="eastAsia" w:eastAsiaTheme="minorHAnsi"/>
          <w:b/>
          <w:sz w:val="24"/>
          <w:szCs w:val="24"/>
        </w:rPr>
        <w:t>日常管理服务、语言转博士</w:t>
      </w:r>
      <w:r>
        <w:rPr>
          <w:rFonts w:hint="eastAsia" w:eastAsiaTheme="minorHAnsi"/>
          <w:sz w:val="24"/>
          <w:szCs w:val="24"/>
        </w:rPr>
        <w:t>）</w:t>
      </w:r>
    </w:p>
    <w:p>
      <w:pPr>
        <w:ind w:firstLine="480" w:firstLineChars="200"/>
        <w:rPr>
          <w:rFonts w:eastAsiaTheme="minorHAnsi"/>
          <w:sz w:val="24"/>
          <w:szCs w:val="24"/>
        </w:rPr>
      </w:pPr>
      <w:r>
        <w:rPr>
          <w:rFonts w:hint="eastAsia" w:eastAsiaTheme="minorHAnsi"/>
          <w:sz w:val="24"/>
          <w:szCs w:val="24"/>
        </w:rPr>
        <w:t>启明大学中国招生办事处和启明大学本部协同解决学生学习和生活中遇到的问题。</w:t>
      </w:r>
    </w:p>
    <w:p>
      <w:pPr>
        <w:rPr>
          <w:rFonts w:eastAsiaTheme="minorHAnsi"/>
          <w:sz w:val="24"/>
          <w:szCs w:val="24"/>
        </w:rPr>
      </w:pPr>
      <w:r>
        <w:rPr>
          <w:rFonts w:hint="eastAsia" w:eastAsiaTheme="minorHAnsi"/>
          <w:sz w:val="24"/>
          <w:szCs w:val="24"/>
        </w:rPr>
        <w:t>读语言学生的语言课程完成后转博士的翻译和材料准备等工作我们会继续为学生直接处理，并为学生安排博士专业面试和后续录取工作。</w:t>
      </w:r>
    </w:p>
    <w:p>
      <w:pPr>
        <w:rPr>
          <w:rFonts w:hint="eastAsia" w:eastAsiaTheme="minorHAnsi"/>
          <w:sz w:val="24"/>
          <w:szCs w:val="24"/>
        </w:rPr>
      </w:pPr>
      <w:r>
        <w:rPr>
          <w:rFonts w:hint="eastAsia" w:eastAsiaTheme="minorHAnsi"/>
          <w:sz w:val="24"/>
          <w:szCs w:val="24"/>
        </w:rPr>
        <w:t>*韩国博士通常为3年，课程为2年结束，能否顺利3年毕业主要看毕业论文和学术论文的发表情况以及导师的安排。</w:t>
      </w:r>
    </w:p>
    <w:p>
      <w:pPr>
        <w:jc w:val="center"/>
        <w:rPr>
          <w:rFonts w:eastAsiaTheme="minorHAnsi"/>
          <w:b/>
          <w:sz w:val="36"/>
          <w:szCs w:val="36"/>
        </w:rPr>
      </w:pPr>
      <w:r>
        <w:rPr>
          <w:rFonts w:hint="eastAsia" w:eastAsiaTheme="minorHAnsi"/>
          <w:b/>
          <w:sz w:val="36"/>
          <w:szCs w:val="36"/>
        </w:rPr>
        <w:t>费用情况</w:t>
      </w:r>
    </w:p>
    <w:p>
      <w:pPr>
        <w:jc w:val="center"/>
        <w:rPr>
          <w:rFonts w:hint="eastAsia" w:eastAsiaTheme="minorHAnsi"/>
          <w:b/>
          <w:sz w:val="24"/>
          <w:szCs w:val="24"/>
        </w:rPr>
      </w:pPr>
      <w:r>
        <w:rPr>
          <w:rFonts w:hint="eastAsia" w:eastAsiaTheme="minorHAnsi"/>
          <w:b/>
          <w:sz w:val="24"/>
          <w:szCs w:val="24"/>
        </w:rPr>
        <w:t>*所有费用均以韩元折算成人民币计算，受汇率影响，会略有波动。</w:t>
      </w:r>
    </w:p>
    <w:p>
      <w:pPr>
        <w:pStyle w:val="9"/>
        <w:numPr>
          <w:ilvl w:val="0"/>
          <w:numId w:val="1"/>
        </w:numPr>
        <w:ind w:firstLineChars="0"/>
        <w:rPr>
          <w:rFonts w:eastAsiaTheme="minorHAnsi"/>
          <w:sz w:val="24"/>
          <w:szCs w:val="24"/>
        </w:rPr>
      </w:pPr>
      <w:r>
        <w:rPr>
          <w:rFonts w:hint="eastAsia" w:eastAsiaTheme="minorHAnsi"/>
          <w:sz w:val="24"/>
          <w:szCs w:val="24"/>
        </w:rPr>
        <w:t>学费（以2017年为例）：</w:t>
      </w:r>
    </w:p>
    <w:tbl>
      <w:tblPr>
        <w:tblStyle w:val="20"/>
        <w:tblpPr w:leftFromText="180" w:rightFromText="180" w:vertAnchor="text" w:horzAnchor="page" w:tblpX="1189" w:tblpY="1319"/>
        <w:tblOverlap w:val="never"/>
        <w:tblW w:w="9507" w:type="dxa"/>
        <w:tblInd w:w="0" w:type="dxa"/>
        <w:tblLayout w:type="autofit"/>
        <w:tblCellMar>
          <w:top w:w="0" w:type="dxa"/>
          <w:left w:w="108" w:type="dxa"/>
          <w:bottom w:w="0" w:type="dxa"/>
          <w:right w:w="108" w:type="dxa"/>
        </w:tblCellMar>
      </w:tblPr>
      <w:tblGrid>
        <w:gridCol w:w="2269"/>
        <w:gridCol w:w="2835"/>
        <w:gridCol w:w="4403"/>
      </w:tblGrid>
      <w:tr>
        <w:tblPrEx>
          <w:tblCellMar>
            <w:top w:w="0" w:type="dxa"/>
            <w:left w:w="108" w:type="dxa"/>
            <w:bottom w:w="0" w:type="dxa"/>
            <w:right w:w="108" w:type="dxa"/>
          </w:tblCellMar>
        </w:tblPrEx>
        <w:trPr>
          <w:trHeight w:val="526" w:hRule="atLeast"/>
        </w:trPr>
        <w:tc>
          <w:tcPr>
            <w:tcW w:w="2269" w:type="dxa"/>
            <w:tcBorders>
              <w:bottom w:val="single" w:color="7E7E7E" w:themeColor="text1" w:themeTint="80" w:sz="4" w:space="0"/>
              <w:right w:val="nil"/>
              <w:insideH w:val="single" w:sz="4" w:space="0"/>
            </w:tcBorders>
          </w:tcPr>
          <w:p>
            <w:pPr>
              <w:jc w:val="center"/>
              <w:rPr>
                <w:rFonts w:eastAsiaTheme="minorHAnsi"/>
                <w:b w:val="0"/>
                <w:bCs/>
                <w:caps/>
                <w:sz w:val="24"/>
                <w:szCs w:val="24"/>
              </w:rPr>
            </w:pPr>
            <w:r>
              <w:rPr>
                <w:rFonts w:hint="eastAsia" w:eastAsiaTheme="minorHAnsi"/>
                <w:b w:val="0"/>
                <w:bCs/>
                <w:caps/>
                <w:sz w:val="24"/>
                <w:szCs w:val="24"/>
              </w:rPr>
              <w:t>专业类别</w:t>
            </w:r>
          </w:p>
        </w:tc>
        <w:tc>
          <w:tcPr>
            <w:tcW w:w="2835" w:type="dxa"/>
            <w:tcBorders>
              <w:bottom w:val="single" w:color="7E7E7E" w:themeColor="text1" w:themeTint="80" w:sz="4" w:space="0"/>
              <w:insideH w:val="single" w:sz="4" w:space="0"/>
            </w:tcBorders>
          </w:tcPr>
          <w:p>
            <w:pPr>
              <w:jc w:val="center"/>
              <w:rPr>
                <w:rFonts w:eastAsiaTheme="minorHAnsi"/>
                <w:b w:val="0"/>
                <w:bCs/>
                <w:caps/>
                <w:sz w:val="24"/>
                <w:szCs w:val="24"/>
              </w:rPr>
            </w:pPr>
            <w:r>
              <w:rPr>
                <w:rFonts w:hint="eastAsia" w:eastAsiaTheme="minorHAnsi"/>
                <w:b w:val="0"/>
                <w:bCs/>
                <w:caps/>
                <w:sz w:val="24"/>
                <w:szCs w:val="24"/>
              </w:rPr>
              <w:t>全价约为（人民币/年）</w:t>
            </w:r>
          </w:p>
        </w:tc>
        <w:tc>
          <w:tcPr>
            <w:tcW w:w="4403" w:type="dxa"/>
            <w:tcBorders>
              <w:bottom w:val="single" w:color="7E7E7E" w:themeColor="text1" w:themeTint="80" w:sz="4" w:space="0"/>
              <w:insideH w:val="single" w:sz="4" w:space="0"/>
            </w:tcBorders>
          </w:tcPr>
          <w:p>
            <w:pPr>
              <w:jc w:val="center"/>
              <w:rPr>
                <w:rFonts w:eastAsiaTheme="minorHAnsi"/>
                <w:b/>
                <w:bCs/>
                <w:caps/>
                <w:sz w:val="24"/>
                <w:szCs w:val="24"/>
              </w:rPr>
            </w:pPr>
            <w:r>
              <w:rPr>
                <w:rFonts w:hint="eastAsia" w:eastAsiaTheme="minorHAnsi"/>
                <w:b/>
                <w:bCs/>
                <w:caps/>
                <w:sz w:val="24"/>
                <w:szCs w:val="24"/>
                <w:highlight w:val="yellow"/>
              </w:rPr>
              <w:t>若减免50%奖学金后约为（人民币/年）</w:t>
            </w:r>
          </w:p>
        </w:tc>
      </w:tr>
      <w:tr>
        <w:tblPrEx>
          <w:tblCellMar>
            <w:top w:w="0" w:type="dxa"/>
            <w:left w:w="108" w:type="dxa"/>
            <w:bottom w:w="0" w:type="dxa"/>
            <w:right w:w="108" w:type="dxa"/>
          </w:tblCellMar>
        </w:tblPrEx>
        <w:tc>
          <w:tcPr>
            <w:tcW w:w="2269" w:type="dxa"/>
            <w:tcBorders>
              <w:top w:val="single" w:color="7E7E7E" w:themeColor="text1" w:themeTint="80" w:sz="4" w:space="0"/>
              <w:left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rPr>
            </w:pPr>
            <w:r>
              <w:rPr>
                <w:rFonts w:hint="eastAsia" w:eastAsiaTheme="minorHAnsi"/>
                <w:b/>
                <w:bCs/>
                <w:caps/>
                <w:sz w:val="24"/>
                <w:szCs w:val="24"/>
              </w:rPr>
              <w:t>人文社科类专业</w:t>
            </w:r>
          </w:p>
        </w:tc>
        <w:tc>
          <w:tcPr>
            <w:tcW w:w="2835" w:type="dxa"/>
            <w:tcBorders>
              <w:top w:val="single" w:color="7E7E7E" w:themeColor="text1" w:themeTint="80" w:sz="4" w:space="0"/>
              <w:right w:val="single" w:color="auto" w:sz="4" w:space="0"/>
            </w:tcBorders>
            <w:shd w:val="clear" w:color="auto" w:fill="F1F1F1" w:themeFill="background1" w:themeFillShade="F2"/>
          </w:tcPr>
          <w:p>
            <w:pPr>
              <w:jc w:val="center"/>
              <w:rPr>
                <w:rFonts w:eastAsiaTheme="minorHAnsi"/>
                <w:sz w:val="24"/>
                <w:szCs w:val="24"/>
              </w:rPr>
            </w:pPr>
            <w:r>
              <w:rPr>
                <w:rFonts w:hint="eastAsia" w:eastAsiaTheme="minorHAnsi"/>
                <w:sz w:val="24"/>
                <w:szCs w:val="24"/>
              </w:rPr>
              <w:t>60000元</w:t>
            </w:r>
          </w:p>
        </w:tc>
        <w:tc>
          <w:tcPr>
            <w:tcW w:w="4403" w:type="dxa"/>
            <w:tcBorders>
              <w:top w:val="single" w:color="7E7E7E" w:themeColor="text1" w:themeTint="80" w:sz="4" w:space="0"/>
              <w:left w:val="single" w:color="auto" w:sz="4" w:space="0"/>
              <w:right w:val="single" w:color="auto" w:sz="4" w:space="0"/>
            </w:tcBorders>
            <w:shd w:val="clear" w:color="auto" w:fill="F1F1F1" w:themeFill="background1" w:themeFillShade="F2"/>
          </w:tcPr>
          <w:p>
            <w:pPr>
              <w:jc w:val="center"/>
              <w:rPr>
                <w:rFonts w:eastAsiaTheme="minorHAnsi"/>
                <w:b/>
                <w:sz w:val="24"/>
                <w:szCs w:val="24"/>
              </w:rPr>
            </w:pPr>
            <w:r>
              <w:rPr>
                <w:rFonts w:hint="eastAsia" w:eastAsiaTheme="minorHAnsi"/>
                <w:b/>
                <w:sz w:val="24"/>
                <w:szCs w:val="24"/>
              </w:rPr>
              <w:t>30000元</w:t>
            </w:r>
          </w:p>
        </w:tc>
      </w:tr>
      <w:tr>
        <w:tblPrEx>
          <w:tblCellMar>
            <w:top w:w="0" w:type="dxa"/>
            <w:left w:w="108" w:type="dxa"/>
            <w:bottom w:w="0" w:type="dxa"/>
            <w:right w:w="108" w:type="dxa"/>
          </w:tblCellMar>
        </w:tblPrEx>
        <w:tc>
          <w:tcPr>
            <w:tcW w:w="2269" w:type="dxa"/>
            <w:tcBorders>
              <w:left w:val="single" w:color="auto" w:sz="4" w:space="0"/>
              <w:right w:val="single" w:color="7E7E7E" w:themeColor="text1" w:themeTint="80" w:sz="4" w:space="0"/>
              <w:insideV w:val="single" w:sz="4" w:space="0"/>
            </w:tcBorders>
          </w:tcPr>
          <w:p>
            <w:pPr>
              <w:jc w:val="center"/>
              <w:rPr>
                <w:rFonts w:eastAsiaTheme="minorHAnsi"/>
                <w:b/>
                <w:bCs/>
                <w:caps/>
                <w:sz w:val="24"/>
                <w:szCs w:val="24"/>
              </w:rPr>
            </w:pPr>
            <w:r>
              <w:rPr>
                <w:rFonts w:hint="eastAsia" w:eastAsiaTheme="minorHAnsi"/>
                <w:b/>
                <w:bCs/>
                <w:caps/>
                <w:sz w:val="24"/>
                <w:szCs w:val="24"/>
              </w:rPr>
              <w:t>理科、体育类专业</w:t>
            </w:r>
          </w:p>
        </w:tc>
        <w:tc>
          <w:tcPr>
            <w:tcW w:w="2835" w:type="dxa"/>
            <w:tcBorders>
              <w:right w:val="single" w:color="auto" w:sz="4" w:space="0"/>
            </w:tcBorders>
          </w:tcPr>
          <w:p>
            <w:pPr>
              <w:jc w:val="center"/>
              <w:rPr>
                <w:rFonts w:eastAsiaTheme="minorHAnsi"/>
                <w:sz w:val="24"/>
                <w:szCs w:val="24"/>
              </w:rPr>
            </w:pPr>
            <w:r>
              <w:rPr>
                <w:rFonts w:hint="eastAsia" w:eastAsiaTheme="minorHAnsi"/>
                <w:sz w:val="24"/>
                <w:szCs w:val="24"/>
              </w:rPr>
              <w:t>74000元</w:t>
            </w:r>
          </w:p>
        </w:tc>
        <w:tc>
          <w:tcPr>
            <w:tcW w:w="4403" w:type="dxa"/>
            <w:tcBorders>
              <w:left w:val="single" w:color="auto" w:sz="4" w:space="0"/>
              <w:right w:val="single" w:color="auto" w:sz="4" w:space="0"/>
            </w:tcBorders>
          </w:tcPr>
          <w:p>
            <w:pPr>
              <w:jc w:val="center"/>
              <w:rPr>
                <w:rFonts w:eastAsiaTheme="minorHAnsi"/>
                <w:b/>
                <w:sz w:val="24"/>
                <w:szCs w:val="24"/>
              </w:rPr>
            </w:pPr>
            <w:r>
              <w:rPr>
                <w:rFonts w:hint="eastAsia" w:eastAsiaTheme="minorHAnsi"/>
                <w:b/>
                <w:sz w:val="24"/>
                <w:szCs w:val="24"/>
              </w:rPr>
              <w:t>37000元</w:t>
            </w:r>
          </w:p>
        </w:tc>
      </w:tr>
      <w:tr>
        <w:tblPrEx>
          <w:tblCellMar>
            <w:top w:w="0" w:type="dxa"/>
            <w:left w:w="108" w:type="dxa"/>
            <w:bottom w:w="0" w:type="dxa"/>
            <w:right w:w="108" w:type="dxa"/>
          </w:tblCellMar>
        </w:tblPrEx>
        <w:tc>
          <w:tcPr>
            <w:tcW w:w="2269" w:type="dxa"/>
            <w:tcBorders>
              <w:left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rPr>
            </w:pPr>
            <w:r>
              <w:rPr>
                <w:rFonts w:hint="eastAsia" w:eastAsiaTheme="minorHAnsi"/>
                <w:b/>
                <w:bCs/>
                <w:caps/>
                <w:sz w:val="24"/>
                <w:szCs w:val="24"/>
              </w:rPr>
              <w:t>工科类专业</w:t>
            </w:r>
          </w:p>
        </w:tc>
        <w:tc>
          <w:tcPr>
            <w:tcW w:w="2835" w:type="dxa"/>
            <w:tcBorders>
              <w:right w:val="single" w:color="auto" w:sz="4" w:space="0"/>
            </w:tcBorders>
            <w:shd w:val="clear" w:color="auto" w:fill="F1F1F1" w:themeFill="background1" w:themeFillShade="F2"/>
          </w:tcPr>
          <w:p>
            <w:pPr>
              <w:jc w:val="center"/>
              <w:rPr>
                <w:rFonts w:eastAsiaTheme="minorHAnsi"/>
                <w:sz w:val="24"/>
                <w:szCs w:val="24"/>
              </w:rPr>
            </w:pPr>
            <w:r>
              <w:rPr>
                <w:rFonts w:hint="eastAsia" w:eastAsiaTheme="minorHAnsi"/>
                <w:sz w:val="24"/>
                <w:szCs w:val="24"/>
              </w:rPr>
              <w:t>80000元</w:t>
            </w:r>
          </w:p>
        </w:tc>
        <w:tc>
          <w:tcPr>
            <w:tcW w:w="4403" w:type="dxa"/>
            <w:tcBorders>
              <w:left w:val="single" w:color="auto" w:sz="4" w:space="0"/>
              <w:right w:val="single" w:color="auto" w:sz="4" w:space="0"/>
            </w:tcBorders>
            <w:shd w:val="clear" w:color="auto" w:fill="F1F1F1" w:themeFill="background1" w:themeFillShade="F2"/>
          </w:tcPr>
          <w:p>
            <w:pPr>
              <w:jc w:val="center"/>
              <w:rPr>
                <w:rFonts w:eastAsiaTheme="minorHAnsi"/>
                <w:b/>
                <w:sz w:val="24"/>
                <w:szCs w:val="24"/>
              </w:rPr>
            </w:pPr>
            <w:r>
              <w:rPr>
                <w:rFonts w:hint="eastAsia" w:eastAsiaTheme="minorHAnsi"/>
                <w:b/>
                <w:sz w:val="24"/>
                <w:szCs w:val="24"/>
              </w:rPr>
              <w:t>40000元</w:t>
            </w:r>
          </w:p>
        </w:tc>
      </w:tr>
      <w:tr>
        <w:tblPrEx>
          <w:tblCellMar>
            <w:top w:w="0" w:type="dxa"/>
            <w:left w:w="108" w:type="dxa"/>
            <w:bottom w:w="0" w:type="dxa"/>
            <w:right w:w="108" w:type="dxa"/>
          </w:tblCellMar>
        </w:tblPrEx>
        <w:tc>
          <w:tcPr>
            <w:tcW w:w="2269" w:type="dxa"/>
            <w:tcBorders>
              <w:left w:val="single" w:color="auto" w:sz="4" w:space="0"/>
              <w:right w:val="single" w:color="7E7E7E" w:themeColor="text1" w:themeTint="80" w:sz="4" w:space="0"/>
              <w:insideV w:val="single" w:sz="4" w:space="0"/>
            </w:tcBorders>
          </w:tcPr>
          <w:p>
            <w:pPr>
              <w:jc w:val="center"/>
              <w:rPr>
                <w:rFonts w:eastAsiaTheme="minorHAnsi"/>
                <w:b/>
                <w:bCs/>
                <w:caps/>
                <w:sz w:val="24"/>
                <w:szCs w:val="24"/>
              </w:rPr>
            </w:pPr>
            <w:r>
              <w:rPr>
                <w:rFonts w:hint="eastAsia" w:eastAsiaTheme="minorHAnsi"/>
                <w:b/>
                <w:bCs/>
                <w:caps/>
                <w:sz w:val="24"/>
                <w:szCs w:val="24"/>
              </w:rPr>
              <w:t>艺术类专业</w:t>
            </w:r>
          </w:p>
        </w:tc>
        <w:tc>
          <w:tcPr>
            <w:tcW w:w="2835" w:type="dxa"/>
            <w:tcBorders>
              <w:right w:val="single" w:color="auto" w:sz="4" w:space="0"/>
            </w:tcBorders>
          </w:tcPr>
          <w:p>
            <w:pPr>
              <w:jc w:val="center"/>
              <w:rPr>
                <w:rFonts w:eastAsiaTheme="minorHAnsi"/>
                <w:sz w:val="24"/>
                <w:szCs w:val="24"/>
              </w:rPr>
            </w:pPr>
            <w:r>
              <w:rPr>
                <w:rFonts w:hint="eastAsia" w:eastAsiaTheme="minorHAnsi"/>
                <w:sz w:val="24"/>
                <w:szCs w:val="24"/>
              </w:rPr>
              <w:t>82000元</w:t>
            </w:r>
          </w:p>
        </w:tc>
        <w:tc>
          <w:tcPr>
            <w:tcW w:w="4403" w:type="dxa"/>
            <w:tcBorders>
              <w:left w:val="single" w:color="auto" w:sz="4" w:space="0"/>
              <w:right w:val="single" w:color="auto" w:sz="4" w:space="0"/>
            </w:tcBorders>
          </w:tcPr>
          <w:p>
            <w:pPr>
              <w:jc w:val="center"/>
              <w:rPr>
                <w:rFonts w:eastAsiaTheme="minorHAnsi"/>
                <w:b/>
                <w:sz w:val="24"/>
                <w:szCs w:val="24"/>
              </w:rPr>
            </w:pPr>
            <w:r>
              <w:rPr>
                <w:rFonts w:hint="eastAsia" w:eastAsiaTheme="minorHAnsi"/>
                <w:b/>
                <w:sz w:val="24"/>
                <w:szCs w:val="24"/>
              </w:rPr>
              <w:t>41000元</w:t>
            </w:r>
          </w:p>
        </w:tc>
      </w:tr>
      <w:tr>
        <w:tblPrEx>
          <w:tblCellMar>
            <w:top w:w="0" w:type="dxa"/>
            <w:left w:w="108" w:type="dxa"/>
            <w:bottom w:w="0" w:type="dxa"/>
            <w:right w:w="108" w:type="dxa"/>
          </w:tblCellMar>
        </w:tblPrEx>
        <w:tc>
          <w:tcPr>
            <w:tcW w:w="2269" w:type="dxa"/>
            <w:tcBorders>
              <w:left w:val="single" w:color="auto" w:sz="4" w:space="0"/>
              <w:right w:val="single" w:color="7E7E7E" w:themeColor="text1" w:themeTint="80" w:sz="4" w:space="0"/>
              <w:insideV w:val="single" w:sz="4" w:space="0"/>
            </w:tcBorders>
            <w:shd w:val="clear" w:color="auto" w:fill="F1F1F1" w:themeFill="background1" w:themeFillShade="F2"/>
          </w:tcPr>
          <w:p>
            <w:pPr>
              <w:jc w:val="center"/>
              <w:rPr>
                <w:rFonts w:eastAsiaTheme="minorHAnsi"/>
                <w:b/>
                <w:bCs/>
                <w:caps/>
                <w:sz w:val="24"/>
                <w:szCs w:val="24"/>
              </w:rPr>
            </w:pPr>
            <w:r>
              <w:rPr>
                <w:rFonts w:hint="eastAsia" w:eastAsiaTheme="minorHAnsi"/>
                <w:b/>
                <w:bCs/>
                <w:caps/>
                <w:sz w:val="24"/>
                <w:szCs w:val="24"/>
              </w:rPr>
              <w:t>医学类专业</w:t>
            </w:r>
          </w:p>
        </w:tc>
        <w:tc>
          <w:tcPr>
            <w:tcW w:w="2835" w:type="dxa"/>
            <w:tcBorders>
              <w:bottom w:val="single" w:color="auto" w:sz="4" w:space="0"/>
              <w:right w:val="single" w:color="auto" w:sz="4" w:space="0"/>
            </w:tcBorders>
            <w:shd w:val="clear" w:color="auto" w:fill="F1F1F1" w:themeFill="background1" w:themeFillShade="F2"/>
          </w:tcPr>
          <w:p>
            <w:pPr>
              <w:jc w:val="center"/>
              <w:rPr>
                <w:rFonts w:eastAsiaTheme="minorHAnsi"/>
                <w:sz w:val="24"/>
                <w:szCs w:val="24"/>
              </w:rPr>
            </w:pPr>
            <w:r>
              <w:rPr>
                <w:rFonts w:hint="eastAsia" w:eastAsiaTheme="minorHAnsi"/>
                <w:sz w:val="24"/>
                <w:szCs w:val="24"/>
              </w:rPr>
              <w:t>100000元</w:t>
            </w:r>
          </w:p>
        </w:tc>
        <w:tc>
          <w:tcPr>
            <w:tcW w:w="4403" w:type="dxa"/>
            <w:tcBorders>
              <w:left w:val="single" w:color="auto" w:sz="4" w:space="0"/>
              <w:bottom w:val="single" w:color="auto" w:sz="4" w:space="0"/>
              <w:right w:val="single" w:color="auto" w:sz="4" w:space="0"/>
            </w:tcBorders>
            <w:shd w:val="clear" w:color="auto" w:fill="F1F1F1" w:themeFill="background1" w:themeFillShade="F2"/>
          </w:tcPr>
          <w:p>
            <w:pPr>
              <w:jc w:val="center"/>
              <w:rPr>
                <w:rFonts w:eastAsiaTheme="minorHAnsi"/>
                <w:b/>
                <w:sz w:val="24"/>
                <w:szCs w:val="24"/>
              </w:rPr>
            </w:pPr>
            <w:r>
              <w:rPr>
                <w:rFonts w:hint="eastAsia" w:eastAsiaTheme="minorHAnsi"/>
                <w:b/>
                <w:sz w:val="24"/>
                <w:szCs w:val="24"/>
              </w:rPr>
              <w:t>50000元</w:t>
            </w:r>
          </w:p>
        </w:tc>
      </w:tr>
      <w:tr>
        <w:tblPrEx>
          <w:tblCellMar>
            <w:top w:w="0" w:type="dxa"/>
            <w:left w:w="108" w:type="dxa"/>
            <w:bottom w:w="0" w:type="dxa"/>
            <w:right w:w="108" w:type="dxa"/>
          </w:tblCellMar>
        </w:tblPrEx>
        <w:tc>
          <w:tcPr>
            <w:tcW w:w="2269" w:type="dxa"/>
            <w:tcBorders>
              <w:left w:val="single" w:color="auto" w:sz="4" w:space="0"/>
              <w:bottom w:val="single" w:color="auto" w:sz="4" w:space="0"/>
              <w:right w:val="single" w:color="7E7E7E" w:themeColor="text1" w:themeTint="80" w:sz="4" w:space="0"/>
              <w:insideV w:val="single" w:sz="4" w:space="0"/>
            </w:tcBorders>
          </w:tcPr>
          <w:p>
            <w:pPr>
              <w:jc w:val="center"/>
              <w:rPr>
                <w:rFonts w:eastAsiaTheme="minorHAnsi"/>
                <w:b/>
                <w:bCs/>
                <w:caps/>
                <w:sz w:val="24"/>
                <w:szCs w:val="24"/>
                <w:highlight w:val="yellow"/>
              </w:rPr>
            </w:pPr>
            <w:r>
              <w:rPr>
                <w:rFonts w:hint="eastAsia" w:eastAsiaTheme="minorHAnsi"/>
                <w:b/>
                <w:bCs/>
                <w:caps/>
                <w:sz w:val="24"/>
                <w:szCs w:val="24"/>
                <w:highlight w:val="yellow"/>
              </w:rPr>
              <w:t>语言预科</w:t>
            </w:r>
          </w:p>
        </w:tc>
        <w:tc>
          <w:tcPr>
            <w:tcW w:w="7238" w:type="dxa"/>
            <w:gridSpan w:val="2"/>
            <w:tcBorders>
              <w:top w:val="single" w:color="auto" w:sz="4" w:space="0"/>
              <w:bottom w:val="single" w:color="auto" w:sz="4" w:space="0"/>
              <w:right w:val="single" w:color="auto" w:sz="4" w:space="0"/>
            </w:tcBorders>
          </w:tcPr>
          <w:p>
            <w:pPr>
              <w:jc w:val="center"/>
              <w:rPr>
                <w:rFonts w:eastAsiaTheme="minorHAnsi"/>
                <w:b/>
                <w:sz w:val="24"/>
                <w:szCs w:val="24"/>
                <w:highlight w:val="yellow"/>
              </w:rPr>
            </w:pPr>
            <w:r>
              <w:rPr>
                <w:rFonts w:eastAsiaTheme="minorHAnsi"/>
                <w:sz w:val="24"/>
                <w:szCs w:val="24"/>
                <w:highlight w:val="yellow"/>
              </w:rPr>
              <w:t>29280</w:t>
            </w:r>
            <w:r>
              <w:rPr>
                <w:rFonts w:hint="eastAsia" w:eastAsiaTheme="minorHAnsi"/>
                <w:sz w:val="24"/>
                <w:szCs w:val="24"/>
                <w:highlight w:val="yellow"/>
              </w:rPr>
              <w:t>元/年（无奖学金减免）</w:t>
            </w:r>
          </w:p>
        </w:tc>
      </w:tr>
    </w:tbl>
    <w:p>
      <w:pPr>
        <w:rPr>
          <w:rFonts w:ascii="楷体" w:hAnsi="楷体" w:eastAsia="楷体"/>
          <w:sz w:val="24"/>
          <w:szCs w:val="24"/>
        </w:rPr>
      </w:pPr>
    </w:p>
    <w:p>
      <w:pPr>
        <w:rPr>
          <w:rFonts w:ascii="楷体" w:hAnsi="楷体" w:eastAsia="楷体"/>
          <w:sz w:val="24"/>
          <w:szCs w:val="24"/>
        </w:rPr>
      </w:pPr>
    </w:p>
    <w:p>
      <w:pPr>
        <w:ind w:firstLine="480" w:firstLineChars="200"/>
        <w:rPr>
          <w:rFonts w:hint="default" w:ascii="楷体" w:hAnsi="楷体" w:eastAsia="楷体"/>
          <w:b/>
          <w:bCs/>
          <w:sz w:val="24"/>
          <w:szCs w:val="24"/>
          <w:lang w:val="en-US" w:eastAsia="zh-CN"/>
        </w:rPr>
      </w:pPr>
      <w:r>
        <w:rPr>
          <w:rFonts w:ascii="楷体" w:hAnsi="楷体" w:eastAsia="楷体"/>
          <w:sz w:val="24"/>
          <w:szCs w:val="24"/>
        </w:rPr>
        <w:t>*</w:t>
      </w:r>
      <w:r>
        <w:rPr>
          <w:rFonts w:ascii="楷体" w:hAnsi="楷体" w:eastAsia="楷体"/>
          <w:b/>
          <w:bCs/>
          <w:sz w:val="24"/>
          <w:szCs w:val="24"/>
        </w:rPr>
        <w:t>学费每年会有小幅度增长</w:t>
      </w:r>
      <w:r>
        <w:rPr>
          <w:rFonts w:hint="eastAsia" w:ascii="楷体" w:hAnsi="楷体" w:eastAsia="楷体"/>
          <w:b/>
          <w:bCs/>
          <w:sz w:val="24"/>
          <w:szCs w:val="24"/>
          <w:lang w:val="en-US" w:eastAsia="zh-CN"/>
        </w:rPr>
        <w:t>;根据汇率变化，费用也会随之变化。</w:t>
      </w:r>
    </w:p>
    <w:p>
      <w:pPr>
        <w:ind w:firstLine="480" w:firstLineChars="200"/>
        <w:rPr>
          <w:rFonts w:ascii="楷体" w:hAnsi="楷体" w:eastAsia="楷体"/>
          <w:color w:val="FF0000"/>
          <w:sz w:val="24"/>
          <w:szCs w:val="24"/>
        </w:rPr>
      </w:pPr>
      <w:r>
        <w:rPr>
          <w:rFonts w:ascii="楷体" w:hAnsi="楷体" w:eastAsia="楷体"/>
          <w:color w:val="FF0000"/>
          <w:sz w:val="24"/>
          <w:szCs w:val="24"/>
        </w:rPr>
        <w:t>*入学金为第一学期入学时一次性费用</w:t>
      </w:r>
    </w:p>
    <w:p>
      <w:pPr>
        <w:ind w:firstLine="480" w:firstLineChars="200"/>
        <w:rPr>
          <w:rFonts w:ascii="楷体" w:hAnsi="楷体" w:eastAsia="楷体"/>
          <w:color w:val="FF0000"/>
          <w:sz w:val="24"/>
          <w:szCs w:val="24"/>
        </w:rPr>
      </w:pPr>
      <w:r>
        <w:rPr>
          <w:rFonts w:hint="eastAsia" w:ascii="楷体" w:hAnsi="楷体" w:eastAsia="楷体"/>
          <w:color w:val="FF0000"/>
          <w:sz w:val="24"/>
          <w:szCs w:val="24"/>
        </w:rPr>
        <w:t>入学金相当于学籍注册费，所有韩国大学都必须收取该费用</w:t>
      </w:r>
    </w:p>
    <w:p>
      <w:pPr>
        <w:ind w:firstLine="480" w:firstLineChars="200"/>
        <w:rPr>
          <w:rFonts w:ascii="楷体" w:hAnsi="楷体" w:eastAsia="楷体"/>
          <w:color w:val="FF0000"/>
          <w:sz w:val="24"/>
          <w:szCs w:val="24"/>
        </w:rPr>
      </w:pPr>
      <w:r>
        <w:rPr>
          <w:rFonts w:hint="eastAsia" w:ascii="楷体" w:hAnsi="楷体" w:eastAsia="楷体"/>
          <w:color w:val="FF0000"/>
          <w:sz w:val="24"/>
          <w:szCs w:val="24"/>
        </w:rPr>
        <w:t>启明大学硕士入学金约合人民币5000元</w:t>
      </w:r>
    </w:p>
    <w:p>
      <w:pPr>
        <w:pStyle w:val="9"/>
        <w:numPr>
          <w:ilvl w:val="0"/>
          <w:numId w:val="1"/>
        </w:numPr>
        <w:ind w:firstLineChars="0"/>
        <w:rPr>
          <w:rFonts w:eastAsiaTheme="minorHAnsi"/>
          <w:sz w:val="24"/>
          <w:szCs w:val="24"/>
        </w:rPr>
      </w:pPr>
      <w:r>
        <w:rPr>
          <w:rFonts w:hint="eastAsia" w:eastAsiaTheme="minorHAnsi"/>
          <w:sz w:val="24"/>
          <w:szCs w:val="24"/>
        </w:rPr>
        <w:t>住宿与餐食费（含工作日早晚餐和周末三餐）：</w:t>
      </w:r>
    </w:p>
    <w:p>
      <w:pPr>
        <w:rPr>
          <w:rFonts w:eastAsiaTheme="minorHAnsi"/>
          <w:sz w:val="24"/>
          <w:szCs w:val="24"/>
        </w:rPr>
      </w:pPr>
      <w:r>
        <w:rPr>
          <w:rFonts w:hint="eastAsia" w:eastAsiaTheme="minorHAnsi"/>
          <w:sz w:val="24"/>
          <w:szCs w:val="24"/>
        </w:rPr>
        <w:t>一般宿舍楼（</w:t>
      </w:r>
      <w:r>
        <w:rPr>
          <w:rFonts w:eastAsiaTheme="minorHAnsi"/>
          <w:sz w:val="24"/>
          <w:szCs w:val="24"/>
        </w:rPr>
        <w:t>13.5平米2人间，公用卫生间及浴室），约合</w:t>
      </w:r>
      <w:r>
        <w:rPr>
          <w:rFonts w:hint="eastAsia" w:eastAsiaTheme="minorHAnsi"/>
          <w:sz w:val="24"/>
          <w:szCs w:val="24"/>
        </w:rPr>
        <w:t>6200</w:t>
      </w:r>
      <w:r>
        <w:rPr>
          <w:rFonts w:eastAsiaTheme="minorHAnsi"/>
          <w:sz w:val="24"/>
          <w:szCs w:val="24"/>
        </w:rPr>
        <w:t>元人民币/学期（16周）</w:t>
      </w:r>
    </w:p>
    <w:p>
      <w:pPr>
        <w:rPr>
          <w:rFonts w:eastAsiaTheme="minorHAnsi"/>
          <w:sz w:val="24"/>
          <w:szCs w:val="24"/>
        </w:rPr>
      </w:pPr>
      <w:r>
        <w:rPr>
          <w:rFonts w:hint="eastAsia" w:eastAsiaTheme="minorHAnsi"/>
          <w:sz w:val="24"/>
          <w:szCs w:val="24"/>
        </w:rPr>
        <w:t>国际宿舍楼（</w:t>
      </w:r>
      <w:r>
        <w:rPr>
          <w:rFonts w:eastAsiaTheme="minorHAnsi"/>
          <w:sz w:val="24"/>
          <w:szCs w:val="24"/>
        </w:rPr>
        <w:t>30平米2人间，室内独立卫生间及浴室），约合9145元</w:t>
      </w:r>
      <w:r>
        <w:rPr>
          <w:rFonts w:eastAsiaTheme="minorHAnsi"/>
          <w:sz w:val="24"/>
          <w:szCs w:val="24"/>
        </w:rPr>
        <w:t>人民币/学期（16周）</w:t>
      </w:r>
    </w:p>
    <w:p>
      <w:pPr>
        <w:ind w:firstLine="480" w:firstLineChars="200"/>
        <w:rPr>
          <w:rFonts w:ascii="楷体" w:hAnsi="楷体" w:eastAsia="楷体"/>
          <w:sz w:val="24"/>
          <w:szCs w:val="24"/>
        </w:rPr>
      </w:pPr>
      <w:r>
        <w:rPr>
          <w:rFonts w:ascii="楷体" w:hAnsi="楷体" w:eastAsia="楷体"/>
          <w:sz w:val="24"/>
          <w:szCs w:val="24"/>
        </w:rPr>
        <w:t>*宿舍包含：床、空调、地暖、书桌、衣柜、鞋柜、电话、LAN网线</w:t>
      </w:r>
      <w:r>
        <w:rPr>
          <w:rFonts w:hint="eastAsia" w:ascii="楷体" w:hAnsi="楷体" w:eastAsia="楷体"/>
          <w:sz w:val="24"/>
          <w:szCs w:val="24"/>
          <w:lang w:eastAsia="zh-CN"/>
        </w:rPr>
        <w:t>、</w:t>
      </w:r>
      <w:r>
        <w:rPr>
          <w:rFonts w:hint="eastAsia" w:ascii="楷体" w:hAnsi="楷体" w:eastAsia="楷体"/>
          <w:sz w:val="24"/>
          <w:szCs w:val="24"/>
        </w:rPr>
        <w:t>公共区域包含电脑机房、健身房、辅导室、活动室、会客室等，学校还有跆拳道馆、各种球场等设施。</w:t>
      </w:r>
    </w:p>
    <w:p>
      <w:pPr>
        <w:ind w:firstLine="480" w:firstLineChars="200"/>
        <w:rPr>
          <w:rFonts w:ascii="楷体" w:hAnsi="楷体" w:eastAsia="楷体"/>
          <w:sz w:val="24"/>
          <w:szCs w:val="24"/>
        </w:rPr>
      </w:pPr>
      <w:r>
        <w:rPr>
          <w:rFonts w:hint="eastAsia" w:ascii="楷体" w:hAnsi="楷体" w:eastAsia="楷体"/>
          <w:sz w:val="24"/>
          <w:szCs w:val="24"/>
        </w:rPr>
        <w:t>*协力栋国际宿舍楼仅限女生申请，男生暂时不可以申请</w:t>
      </w:r>
    </w:p>
    <w:p>
      <w:pPr>
        <w:ind w:firstLine="480" w:firstLineChars="200"/>
        <w:rPr>
          <w:rFonts w:ascii="楷体" w:hAnsi="楷体" w:eastAsia="楷体"/>
          <w:sz w:val="24"/>
          <w:szCs w:val="24"/>
        </w:rPr>
      </w:pPr>
      <w:r>
        <w:rPr>
          <w:rFonts w:hint="eastAsia" w:ascii="楷体" w:hAnsi="楷体" w:eastAsia="楷体"/>
          <w:sz w:val="24"/>
          <w:szCs w:val="24"/>
        </w:rPr>
        <w:t>*宿舍费按学期收取。</w:t>
      </w:r>
    </w:p>
    <w:p>
      <w:pPr>
        <w:ind w:firstLine="482" w:firstLineChars="200"/>
        <w:jc w:val="left"/>
        <w:rPr>
          <w:rFonts w:ascii="楷体" w:hAnsi="楷体" w:eastAsia="楷体"/>
          <w:b/>
          <w:sz w:val="24"/>
          <w:szCs w:val="24"/>
        </w:rPr>
      </w:pPr>
      <w:r>
        <w:rPr>
          <w:rFonts w:hint="eastAsia" w:ascii="楷体" w:hAnsi="楷体" w:eastAsia="楷体"/>
          <w:b/>
          <w:sz w:val="24"/>
          <w:szCs w:val="24"/>
        </w:rPr>
        <w:t>以上所有费用直接缴纳给启明大学，首次为跨境汇款，第二学期开始为学校从学生校园银行卡（大邱银行）账户中统一划扣款。</w:t>
      </w:r>
    </w:p>
    <w:p>
      <w:pPr>
        <w:pStyle w:val="9"/>
        <w:numPr>
          <w:ilvl w:val="0"/>
          <w:numId w:val="1"/>
        </w:numPr>
        <w:ind w:firstLineChars="0"/>
        <w:rPr>
          <w:rFonts w:eastAsiaTheme="minorHAnsi"/>
          <w:sz w:val="24"/>
          <w:szCs w:val="24"/>
        </w:rPr>
      </w:pPr>
      <w:r>
        <w:rPr>
          <w:rFonts w:hint="eastAsia" w:eastAsiaTheme="minorHAnsi"/>
          <w:sz w:val="24"/>
          <w:szCs w:val="24"/>
        </w:rPr>
        <w:t>艺术专业预录取国际生留学管理费用（签订合同后支付）</w:t>
      </w:r>
    </w:p>
    <w:p>
      <w:pPr>
        <w:pStyle w:val="9"/>
        <w:ind w:left="360" w:firstLine="0" w:firstLineChars="0"/>
        <w:jc w:val="both"/>
        <w:rPr>
          <w:rFonts w:hint="eastAsia" w:eastAsiaTheme="minorHAnsi"/>
          <w:b/>
          <w:color w:val="auto"/>
          <w:sz w:val="28"/>
          <w:szCs w:val="28"/>
        </w:rPr>
      </w:pPr>
      <w:r>
        <w:rPr>
          <w:rFonts w:hint="eastAsia" w:eastAsiaTheme="minorHAnsi"/>
          <w:b/>
          <w:color w:val="auto"/>
          <w:sz w:val="28"/>
          <w:szCs w:val="28"/>
        </w:rPr>
        <w:t>55000元人民币/每人</w:t>
      </w:r>
    </w:p>
    <w:p>
      <w:pPr>
        <w:jc w:val="center"/>
        <w:rPr>
          <w:rFonts w:hint="eastAsia" w:eastAsiaTheme="minorHAnsi"/>
          <w:b/>
          <w:sz w:val="36"/>
          <w:szCs w:val="36"/>
        </w:rPr>
      </w:pPr>
      <w:r>
        <w:rPr>
          <w:rFonts w:hint="eastAsia" w:eastAsiaTheme="minorHAnsi"/>
          <w:b/>
          <w:sz w:val="36"/>
          <w:szCs w:val="36"/>
        </w:rPr>
        <w:t>勤工俭学</w:t>
      </w:r>
    </w:p>
    <w:p>
      <w:pPr>
        <w:ind w:firstLine="480" w:firstLineChars="200"/>
        <w:rPr>
          <w:rFonts w:hint="eastAsia" w:eastAsiaTheme="minorHAnsi"/>
          <w:sz w:val="24"/>
          <w:szCs w:val="24"/>
        </w:rPr>
      </w:pPr>
      <w:r>
        <w:rPr>
          <w:rFonts w:hint="eastAsia" w:eastAsiaTheme="minorHAnsi"/>
          <w:sz w:val="24"/>
          <w:szCs w:val="24"/>
        </w:rPr>
        <w:t>韩国是留学生合法打工国家，国家也鼓励学生勤工俭学和了解社会。预科阶段住满6个月一般可以合法打工，本科阶段直接可以合法打工，每周不得超过20个小时。学校和学生会也有各种企业和商铺发布的学生打工信息。平均月收入在3000-10000人民币左右，寒暑假可冲刺20000人民币。学生也可以自己做代购。</w:t>
      </w:r>
    </w:p>
    <w:p>
      <w:pPr>
        <w:jc w:val="center"/>
        <w:rPr>
          <w:rFonts w:hint="eastAsia" w:eastAsiaTheme="minorHAnsi"/>
          <w:b/>
          <w:sz w:val="36"/>
          <w:szCs w:val="36"/>
        </w:rPr>
      </w:pPr>
      <w:r>
        <w:rPr>
          <w:rFonts w:hint="eastAsia" w:eastAsiaTheme="minorHAnsi"/>
          <w:b/>
          <w:sz w:val="36"/>
          <w:szCs w:val="36"/>
        </w:rPr>
        <w:t>留学回国后的学历认证与落户</w:t>
      </w:r>
    </w:p>
    <w:p>
      <w:pPr>
        <w:ind w:firstLine="480" w:firstLineChars="200"/>
        <w:rPr>
          <w:rFonts w:eastAsiaTheme="minorHAnsi"/>
          <w:sz w:val="24"/>
          <w:szCs w:val="24"/>
        </w:rPr>
      </w:pPr>
      <w:bookmarkStart w:id="4" w:name="_GoBack"/>
      <w:bookmarkEnd w:id="4"/>
      <w:r>
        <w:rPr>
          <w:rFonts w:hint="eastAsia" w:eastAsiaTheme="minorHAnsi"/>
          <w:sz w:val="24"/>
          <w:szCs w:val="24"/>
        </w:rPr>
        <w:t>所有国家留学生回中国后要办理留学归国人员学历认证，可在教育部留服中心网站上办理。启明大学是较早一批教育部认证的韩国大学，韩国教育部优秀认证大学，毕业季请按照学校统一安排准备好材料，在韩国和国内做好学历认证材料准备工作。</w:t>
      </w:r>
    </w:p>
    <w:p>
      <w:pPr>
        <w:rPr>
          <w:rFonts w:eastAsiaTheme="minorHAnsi"/>
          <w:sz w:val="24"/>
          <w:szCs w:val="24"/>
        </w:rPr>
      </w:pPr>
      <w:r>
        <w:rPr>
          <w:rFonts w:hint="eastAsia" w:eastAsiaTheme="minorHAnsi"/>
          <w:sz w:val="24"/>
          <w:szCs w:val="24"/>
        </w:rPr>
        <w:t>归国后，按目前上海落户政策，请及时找有资质的工作单位就业，及时在一年内以海归身份办理上海落户（通常未购房者为集体户口），超时或政策变化可能导致无法落户上海，具体见毕业时各大城市的落户政策。</w:t>
      </w:r>
    </w:p>
    <w:p>
      <w:pPr>
        <w:rPr>
          <w:rFonts w:ascii="Arial Black" w:hAnsi="Arial Black" w:eastAsia="微软雅黑"/>
          <w:b/>
          <w:color w:val="FFD966" w:themeColor="accent4" w:themeTint="99"/>
          <w:sz w:val="72"/>
          <w:szCs w:val="72"/>
          <w14:textFill>
            <w14:solidFill>
              <w14:schemeClr w14:val="accent4">
                <w14:lumMod w14:val="60000"/>
                <w14:lumOff w14:val="40000"/>
              </w14:schemeClr>
            </w14:solidFill>
          </w14:textFill>
        </w:rPr>
      </w:pPr>
      <w:r>
        <w:rPr>
          <w:rFonts w:hint="eastAsia" w:ascii="Arial Black" w:hAnsi="Arial Black" w:eastAsia="微软雅黑"/>
          <w:b/>
          <w:color w:val="FFC000"/>
          <w:sz w:val="72"/>
          <w:szCs w:val="72"/>
        </w:rPr>
        <w:t>B</w:t>
      </w:r>
      <w:r>
        <w:rPr>
          <w:rFonts w:ascii="Arial Black" w:hAnsi="Arial Black" w:eastAsia="微软雅黑"/>
          <w:b/>
          <w:color w:val="FFC000"/>
          <w:sz w:val="72"/>
          <w:szCs w:val="72"/>
        </w:rPr>
        <w:t xml:space="preserve">ingo! </w:t>
      </w:r>
    </w:p>
    <w:p>
      <w:pPr>
        <w:rPr>
          <w:rFonts w:ascii="Arial Black" w:hAnsi="Arial Black" w:eastAsia="微软雅黑"/>
          <w:b/>
          <w:color w:val="C00000"/>
          <w:sz w:val="44"/>
          <w:szCs w:val="44"/>
        </w:rPr>
      </w:pPr>
      <w:r>
        <w:rPr>
          <w:rFonts w:hint="eastAsia" w:ascii="微软雅黑" w:hAnsi="微软雅黑" w:eastAsia="微软雅黑"/>
          <w:b/>
          <w:color w:val="203864" w:themeColor="accent5" w:themeShade="80"/>
          <w:sz w:val="44"/>
          <w:szCs w:val="44"/>
        </w:rPr>
        <w:t xml:space="preserve">海外读博 </w:t>
      </w:r>
      <w:r>
        <w:rPr>
          <w:rFonts w:ascii="微软雅黑" w:hAnsi="微软雅黑" w:eastAsia="微软雅黑"/>
          <w:b/>
          <w:color w:val="203864" w:themeColor="accent5" w:themeShade="80"/>
          <w:sz w:val="44"/>
          <w:szCs w:val="44"/>
        </w:rPr>
        <w:t xml:space="preserve"> </w:t>
      </w:r>
      <w:r>
        <w:rPr>
          <w:rFonts w:hint="eastAsia" w:ascii="微软雅黑" w:hAnsi="微软雅黑" w:eastAsia="微软雅黑"/>
          <w:b/>
          <w:color w:val="C00000"/>
          <w:sz w:val="44"/>
          <w:szCs w:val="44"/>
        </w:rPr>
        <w:t>从这里启航！</w:t>
      </w:r>
    </w:p>
    <w:p>
      <w:pPr>
        <w:rPr>
          <w:rFonts w:eastAsiaTheme="minorHAnsi"/>
          <w:b/>
          <w:sz w:val="24"/>
          <w:szCs w:val="24"/>
        </w:rPr>
      </w:pPr>
      <w:r>
        <w:rPr>
          <w:rFonts w:hint="eastAsia" w:eastAsiaTheme="minorHAnsi"/>
          <w:b/>
          <w:sz w:val="24"/>
          <w:szCs w:val="24"/>
        </w:rPr>
        <w:t>艺术专业学生赴启明大学读博到底能改变什么？</w:t>
      </w:r>
    </w:p>
    <w:p>
      <w:pPr>
        <w:rPr>
          <w:rFonts w:eastAsiaTheme="minorHAnsi"/>
          <w:sz w:val="24"/>
          <w:szCs w:val="24"/>
        </w:rPr>
      </w:pPr>
      <w:r>
        <w:rPr>
          <w:rFonts w:hint="eastAsia" w:eastAsiaTheme="minorHAnsi"/>
          <w:sz w:val="24"/>
          <w:szCs w:val="24"/>
        </w:rPr>
        <w:t>进入艺术领域内更深层次的研究</w:t>
      </w:r>
    </w:p>
    <w:p>
      <w:pPr>
        <w:rPr>
          <w:rFonts w:eastAsiaTheme="minorHAnsi"/>
          <w:sz w:val="24"/>
          <w:szCs w:val="24"/>
        </w:rPr>
      </w:pPr>
      <w:r>
        <w:rPr>
          <w:rFonts w:hint="eastAsia" w:eastAsiaTheme="minorHAnsi"/>
          <w:sz w:val="24"/>
          <w:szCs w:val="24"/>
        </w:rPr>
        <w:t>更加国际化的视野和世界观；</w:t>
      </w:r>
    </w:p>
    <w:p>
      <w:pPr>
        <w:rPr>
          <w:rFonts w:eastAsiaTheme="minorHAnsi"/>
          <w:sz w:val="24"/>
          <w:szCs w:val="24"/>
        </w:rPr>
      </w:pPr>
      <w:r>
        <w:rPr>
          <w:rFonts w:hint="eastAsia" w:eastAsiaTheme="minorHAnsi"/>
          <w:sz w:val="24"/>
          <w:szCs w:val="24"/>
        </w:rPr>
        <w:t>接触不同的文化与艺术形式，自己的艺术经验更加丰富；</w:t>
      </w:r>
    </w:p>
    <w:p>
      <w:pPr>
        <w:rPr>
          <w:rFonts w:eastAsiaTheme="minorHAnsi"/>
          <w:sz w:val="24"/>
          <w:szCs w:val="24"/>
        </w:rPr>
      </w:pPr>
      <w:r>
        <w:rPr>
          <w:rFonts w:hint="eastAsia" w:eastAsiaTheme="minorHAnsi"/>
          <w:sz w:val="24"/>
          <w:szCs w:val="24"/>
        </w:rPr>
        <w:t>更多参与国际表演和大赛的机会；</w:t>
      </w:r>
    </w:p>
    <w:p>
      <w:pPr>
        <w:rPr>
          <w:rFonts w:eastAsiaTheme="minorHAnsi"/>
          <w:sz w:val="24"/>
          <w:szCs w:val="24"/>
        </w:rPr>
      </w:pPr>
      <w:r>
        <w:rPr>
          <w:rFonts w:hint="eastAsia" w:eastAsiaTheme="minorHAnsi"/>
          <w:sz w:val="24"/>
          <w:szCs w:val="24"/>
        </w:rPr>
        <w:t>独立的生活能力，学会融入集体生活，按照宿管要求正常作息；</w:t>
      </w:r>
    </w:p>
    <w:p>
      <w:pPr>
        <w:rPr>
          <w:rFonts w:eastAsiaTheme="minorHAnsi"/>
          <w:sz w:val="24"/>
          <w:szCs w:val="24"/>
        </w:rPr>
      </w:pPr>
      <w:r>
        <w:rPr>
          <w:rFonts w:hint="eastAsia" w:eastAsiaTheme="minorHAnsi"/>
          <w:sz w:val="24"/>
          <w:szCs w:val="24"/>
        </w:rPr>
        <w:t>业余生活是听学校大型音乐会提升修养、参加学校社团活动、健身房健身、图书馆自习，而不是玩游戏虚度光阴；</w:t>
      </w:r>
    </w:p>
    <w:p>
      <w:pPr>
        <w:rPr>
          <w:rFonts w:eastAsiaTheme="minorHAnsi"/>
          <w:sz w:val="24"/>
          <w:szCs w:val="24"/>
        </w:rPr>
      </w:pPr>
      <w:r>
        <w:rPr>
          <w:rFonts w:hint="eastAsia" w:eastAsiaTheme="minorHAnsi"/>
          <w:sz w:val="24"/>
          <w:szCs w:val="24"/>
        </w:rPr>
        <w:t>有了更加明确的目标和自己做决定的能力；</w:t>
      </w:r>
    </w:p>
    <w:p>
      <w:pPr>
        <w:rPr>
          <w:rFonts w:eastAsiaTheme="minorHAnsi"/>
          <w:sz w:val="24"/>
          <w:szCs w:val="24"/>
        </w:rPr>
      </w:pPr>
      <w:r>
        <w:rPr>
          <w:rFonts w:hint="eastAsia" w:eastAsiaTheme="minorHAnsi"/>
          <w:sz w:val="24"/>
          <w:szCs w:val="24"/>
        </w:rPr>
        <w:t>多学了一门外语，英语也在大学继续进步，适应了海外的生活；</w:t>
      </w:r>
    </w:p>
    <w:p>
      <w:pPr>
        <w:rPr>
          <w:rFonts w:eastAsiaTheme="minorHAnsi"/>
          <w:sz w:val="24"/>
          <w:szCs w:val="24"/>
        </w:rPr>
      </w:pPr>
      <w:r>
        <w:rPr>
          <w:rFonts w:hint="eastAsia" w:eastAsiaTheme="minorHAnsi"/>
          <w:sz w:val="24"/>
          <w:szCs w:val="24"/>
        </w:rPr>
        <w:t>性格从内向变得开朗，开朗却又不骄傲，开始变得懂事；</w:t>
      </w:r>
    </w:p>
    <w:p>
      <w:pPr>
        <w:rPr>
          <w:rFonts w:eastAsiaTheme="minorHAnsi"/>
          <w:sz w:val="24"/>
          <w:szCs w:val="24"/>
        </w:rPr>
      </w:pPr>
      <w:r>
        <w:rPr>
          <w:rFonts w:hint="eastAsia" w:eastAsiaTheme="minorHAnsi"/>
          <w:sz w:val="24"/>
          <w:szCs w:val="24"/>
        </w:rPr>
        <w:t>了解世界多元的文化，有更好的文化理解度和接受度，更加成为一个国际人；</w:t>
      </w:r>
    </w:p>
    <w:p>
      <w:pPr>
        <w:rPr>
          <w:rFonts w:eastAsiaTheme="minorHAnsi"/>
          <w:sz w:val="24"/>
          <w:szCs w:val="24"/>
        </w:rPr>
      </w:pPr>
      <w:r>
        <w:rPr>
          <w:rFonts w:hint="eastAsia" w:eastAsiaTheme="minorHAnsi"/>
          <w:sz w:val="24"/>
          <w:szCs w:val="24"/>
        </w:rPr>
        <w:t>不是依赖父母给零花钱，自己赚钱读书，更加珍惜；</w:t>
      </w:r>
    </w:p>
    <w:p>
      <w:pPr>
        <w:rPr>
          <w:rFonts w:eastAsiaTheme="minorHAnsi"/>
          <w:sz w:val="24"/>
          <w:szCs w:val="24"/>
        </w:rPr>
      </w:pPr>
      <w:r>
        <w:rPr>
          <w:rFonts w:hint="eastAsia" w:eastAsiaTheme="minorHAnsi"/>
          <w:sz w:val="24"/>
          <w:szCs w:val="24"/>
        </w:rPr>
        <w:t>努力要求自己成绩更好，争取更高的奖学金；</w:t>
      </w:r>
    </w:p>
    <w:p>
      <w:pPr>
        <w:rPr>
          <w:rFonts w:eastAsiaTheme="minorHAnsi"/>
          <w:sz w:val="24"/>
          <w:szCs w:val="24"/>
        </w:rPr>
      </w:pPr>
      <w:r>
        <w:rPr>
          <w:rFonts w:hint="eastAsia" w:eastAsiaTheme="minorHAnsi"/>
          <w:sz w:val="24"/>
          <w:szCs w:val="24"/>
        </w:rPr>
        <w:t>学会了接人待物的礼仪和礼貌，并在学校和企业实习中了解社会、了解职场、更</w:t>
      </w:r>
    </w:p>
    <w:p>
      <w:pPr>
        <w:rPr>
          <w:rFonts w:hint="eastAsia" w:eastAsiaTheme="minorHAnsi"/>
          <w:sz w:val="24"/>
          <w:szCs w:val="24"/>
        </w:rPr>
      </w:pPr>
      <w:r>
        <w:rPr>
          <w:rFonts w:hint="eastAsia" w:eastAsiaTheme="minorHAnsi"/>
          <w:sz w:val="24"/>
          <w:szCs w:val="24"/>
        </w:rPr>
        <w:t>不断取得进步和成就。</w:t>
      </w:r>
    </w:p>
    <w:p>
      <w:pPr>
        <w:jc w:val="center"/>
        <w:rPr>
          <w:rFonts w:eastAsiaTheme="minorHAnsi"/>
          <w:b/>
          <w:sz w:val="30"/>
          <w:szCs w:val="30"/>
        </w:rPr>
      </w:pPr>
      <w:r>
        <w:rPr>
          <w:rFonts w:hint="eastAsia" w:eastAsiaTheme="minorHAnsi"/>
          <w:b/>
          <w:sz w:val="30"/>
          <w:szCs w:val="30"/>
        </w:rPr>
        <w:t xml:space="preserve">附 </w:t>
      </w:r>
      <w:r>
        <w:rPr>
          <w:rFonts w:eastAsiaTheme="minorHAnsi"/>
          <w:b/>
          <w:sz w:val="30"/>
          <w:szCs w:val="30"/>
        </w:rPr>
        <w:t xml:space="preserve"> </w:t>
      </w:r>
      <w:r>
        <w:rPr>
          <w:rFonts w:hint="eastAsia" w:eastAsiaTheme="minorHAnsi"/>
          <w:b/>
          <w:sz w:val="30"/>
          <w:szCs w:val="30"/>
        </w:rPr>
        <w:t>录</w:t>
      </w:r>
    </w:p>
    <w:p>
      <w:pPr>
        <w:jc w:val="center"/>
        <w:rPr>
          <w:rFonts w:eastAsiaTheme="minorHAnsi"/>
          <w:b/>
          <w:sz w:val="30"/>
          <w:szCs w:val="30"/>
        </w:rPr>
      </w:pPr>
      <w:r>
        <w:rPr>
          <w:rFonts w:hint="eastAsia" w:eastAsiaTheme="minorHAnsi"/>
          <w:b/>
          <w:sz w:val="30"/>
          <w:szCs w:val="30"/>
        </w:rPr>
        <w:t>教育部涉外监管网韩国认证大学名录（首字母顺序）：</w:t>
      </w:r>
    </w:p>
    <w:p>
      <w:pPr>
        <w:jc w:val="left"/>
        <w:rPr>
          <w:rFonts w:eastAsiaTheme="minorHAnsi"/>
          <w:b/>
          <w:sz w:val="30"/>
          <w:szCs w:val="30"/>
        </w:rPr>
      </w:pPr>
      <w:r>
        <w:rPr>
          <w:lang w:bidi="mn-Mong-CN"/>
        </w:rPr>
        <w:drawing>
          <wp:inline distT="0" distB="0" distL="0" distR="0">
            <wp:extent cx="6015355" cy="4295775"/>
            <wp:effectExtent l="0" t="0" r="4445" b="9525"/>
            <wp:docPr id="3" name="图片 3" descr="C:\Users\杨奇\AppData\Local\Temp\14956428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奇\AppData\Local\Temp\149564285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47330" cy="4318609"/>
                    </a:xfrm>
                    <a:prstGeom prst="rect">
                      <a:avLst/>
                    </a:prstGeom>
                    <a:noFill/>
                    <a:ln>
                      <a:noFill/>
                    </a:ln>
                  </pic:spPr>
                </pic:pic>
              </a:graphicData>
            </a:graphic>
          </wp:inline>
        </w:drawing>
      </w:r>
    </w:p>
    <w:p>
      <w:pPr>
        <w:rPr>
          <w:rFonts w:eastAsiaTheme="minorHAnsi"/>
          <w:sz w:val="30"/>
          <w:szCs w:val="30"/>
        </w:rPr>
      </w:pPr>
    </w:p>
    <w:p>
      <w:pPr>
        <w:rPr>
          <w:rFonts w:eastAsiaTheme="minorHAnsi"/>
          <w:sz w:val="30"/>
          <w:szCs w:val="30"/>
        </w:rPr>
      </w:pPr>
      <w:r>
        <w:rPr>
          <w:lang w:bidi="mn-Mong-CN"/>
        </w:rPr>
        <w:drawing>
          <wp:inline distT="0" distB="0" distL="0" distR="0">
            <wp:extent cx="5981065" cy="2533650"/>
            <wp:effectExtent l="0" t="0" r="635" b="0"/>
            <wp:docPr id="2" name="图片 2" descr="C:\Users\杨奇\AppData\Local\Temp\14956429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奇\AppData\Local\Temp\1495642969(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95347" cy="2539700"/>
                    </a:xfrm>
                    <a:prstGeom prst="rect">
                      <a:avLst/>
                    </a:prstGeom>
                    <a:noFill/>
                    <a:ln>
                      <a:noFill/>
                    </a:ln>
                  </pic:spPr>
                </pic:pic>
              </a:graphicData>
            </a:graphic>
          </wp:inline>
        </w:drawing>
      </w:r>
    </w:p>
    <w:p>
      <w:pPr>
        <w:rPr>
          <w:rFonts w:eastAsiaTheme="minorHAnsi"/>
          <w:sz w:val="30"/>
          <w:szCs w:val="30"/>
        </w:rPr>
      </w:pPr>
      <w:r>
        <w:rPr>
          <w:lang w:bidi="mn-Mong-CN"/>
        </w:rPr>
        <w:drawing>
          <wp:inline distT="0" distB="0" distL="0" distR="0">
            <wp:extent cx="5274310" cy="5824220"/>
            <wp:effectExtent l="0" t="0" r="2540" b="5080"/>
            <wp:docPr id="8" name="图片 8" descr="C:\Users\杨奇\AppData\Local\Temp\14956431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奇\AppData\Local\Temp\149564311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5824220"/>
                    </a:xfrm>
                    <a:prstGeom prst="rect">
                      <a:avLst/>
                    </a:prstGeom>
                    <a:noFill/>
                    <a:ln>
                      <a:noFill/>
                    </a:ln>
                  </pic:spPr>
                </pic:pic>
              </a:graphicData>
            </a:graphic>
          </wp:inline>
        </w:drawing>
      </w:r>
    </w:p>
    <w:p>
      <w:pPr>
        <w:rPr>
          <w:rFonts w:eastAsiaTheme="minorHAnsi"/>
          <w:sz w:val="30"/>
          <w:szCs w:val="30"/>
        </w:rPr>
      </w:pPr>
      <w:r>
        <w:rPr>
          <w:rFonts w:ascii="宋体" w:hAnsi="宋体" w:cs="宋体"/>
          <w:sz w:val="24"/>
          <w:lang w:bidi="mn-Mong-CN"/>
        </w:rPr>
        <mc:AlternateContent>
          <mc:Choice Requires="wps">
            <w:drawing>
              <wp:anchor distT="0" distB="0" distL="114300" distR="114300" simplePos="0" relativeHeight="251661312" behindDoc="0" locked="0" layoutInCell="1" allowOverlap="1">
                <wp:simplePos x="0" y="0"/>
                <wp:positionH relativeFrom="column">
                  <wp:posOffset>3676650</wp:posOffset>
                </wp:positionH>
                <wp:positionV relativeFrom="paragraph">
                  <wp:posOffset>1371600</wp:posOffset>
                </wp:positionV>
                <wp:extent cx="514350" cy="9525"/>
                <wp:effectExtent l="19050" t="19050" r="19050" b="28575"/>
                <wp:wrapNone/>
                <wp:docPr id="11" name="直接连接符 11"/>
                <wp:cNvGraphicFramePr/>
                <a:graphic xmlns:a="http://schemas.openxmlformats.org/drawingml/2006/main">
                  <a:graphicData uri="http://schemas.microsoft.com/office/word/2010/wordprocessingShape">
                    <wps:wsp>
                      <wps:cNvCnPr/>
                      <wps:spPr>
                        <a:xfrm flipV="1">
                          <a:off x="0" y="0"/>
                          <a:ext cx="514350" cy="952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9.5pt;margin-top:108pt;height:0.75pt;width:40.5pt;z-index:251661312;mso-width-relative:page;mso-height-relative:page;" filled="f" stroked="t" coordsize="21600,21600" o:gfxdata="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7VQC/ZAAAACwEAAA8AAAAAAAAAAQAgAAAAIgAAAGRycy9kb3ducmV2LnhtbFBLAQIUABQA&#10;AAAIAIdO4kDKzcyp7wEAAMADAAAOAAAAAAAAAAEAIAAAACgBAABkcnMvZTJvRG9jLnhtbFBLBQYA&#10;AAAABgAGAFkBAACJBQAAAAA=&#10;">
                <v:fill on="f" focussize="0,0"/>
                <v:stroke weight="2.25pt" color="#C00000 [3204]" miterlimit="8" joinstyle="miter"/>
                <v:imagedata o:title=""/>
                <o:lock v:ext="edit" aspectratio="f"/>
              </v:line>
            </w:pict>
          </mc:Fallback>
        </mc:AlternateContent>
      </w:r>
      <w:r>
        <w:rPr>
          <w:rFonts w:ascii="宋体" w:hAnsi="宋体" w:cs="宋体"/>
          <w:sz w:val="24"/>
          <w:lang w:bidi="mn-Mong-CN"/>
        </w:rPr>
        <w:drawing>
          <wp:inline distT="0" distB="0" distL="0" distR="0">
            <wp:extent cx="5274310" cy="3685540"/>
            <wp:effectExtent l="0" t="0" r="2540" b="0"/>
            <wp:docPr id="5" name="图片 5" descr="C:\Users\杨奇\AppData\Local\Temp\1495642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奇\AppData\Local\Temp\149564246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3685540"/>
                    </a:xfrm>
                    <a:prstGeom prst="rect">
                      <a:avLst/>
                    </a:prstGeom>
                    <a:noFill/>
                    <a:ln>
                      <a:noFill/>
                    </a:ln>
                  </pic:spPr>
                </pic:pic>
              </a:graphicData>
            </a:graphic>
          </wp:inline>
        </w:drawing>
      </w:r>
    </w:p>
    <w:p>
      <w:pPr>
        <w:rPr>
          <w:rFonts w:eastAsiaTheme="minorHAnsi"/>
          <w:sz w:val="30"/>
          <w:szCs w:val="30"/>
        </w:rPr>
      </w:pPr>
      <w:r>
        <w:rPr>
          <w:rFonts w:ascii="宋体" w:hAnsi="宋体" w:cs="宋体"/>
          <w:sz w:val="24"/>
          <w:lang w:bidi="mn-Mong-CN"/>
        </w:rPr>
        <mc:AlternateContent>
          <mc:Choice Requires="wps">
            <w:drawing>
              <wp:anchor distT="0" distB="0" distL="114300" distR="114300" simplePos="0" relativeHeight="251662336" behindDoc="0" locked="0" layoutInCell="1" allowOverlap="1">
                <wp:simplePos x="0" y="0"/>
                <wp:positionH relativeFrom="column">
                  <wp:posOffset>3581400</wp:posOffset>
                </wp:positionH>
                <wp:positionV relativeFrom="paragraph">
                  <wp:posOffset>1569085</wp:posOffset>
                </wp:positionV>
                <wp:extent cx="523875" cy="19050"/>
                <wp:effectExtent l="19050" t="19050" r="28575" b="19050"/>
                <wp:wrapNone/>
                <wp:docPr id="12" name="直接连接符 12"/>
                <wp:cNvGraphicFramePr/>
                <a:graphic xmlns:a="http://schemas.openxmlformats.org/drawingml/2006/main">
                  <a:graphicData uri="http://schemas.microsoft.com/office/word/2010/wordprocessingShape">
                    <wps:wsp>
                      <wps:cNvCnPr/>
                      <wps:spPr>
                        <a:xfrm flipV="1">
                          <a:off x="0" y="0"/>
                          <a:ext cx="523875" cy="190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2pt;margin-top:123.55pt;height:1.5pt;width:41.25pt;z-index:251662336;mso-width-relative:page;mso-height-relative:page;" filled="f" stroked="t" coordsize="21600,21600" o:gfxdata="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M3hK7aAAAACwEAAA8AAAAAAAAAAQAgAAAAIgAAAGRycy9kb3ducmV2LnhtbFBLAQIU&#10;ABQAAAAIAIdO4kAPAESg8QEAAMEDAAAOAAAAAAAAAAEAIAAAACkBAABkcnMvZTJvRG9jLnhtbFBL&#10;BQYAAAAABgAGAFkBAACMBQAAAAA=&#10;">
                <v:fill on="f" focussize="0,0"/>
                <v:stroke weight="2.25pt" color="#C00000 [3204]" miterlimit="8" joinstyle="miter"/>
                <v:imagedata o:title=""/>
                <o:lock v:ext="edit" aspectratio="f"/>
              </v:line>
            </w:pict>
          </mc:Fallback>
        </mc:AlternateContent>
      </w:r>
      <w:r>
        <w:rPr>
          <w:rFonts w:ascii="宋体" w:hAnsi="宋体" w:cs="宋体"/>
          <w:sz w:val="24"/>
          <w:lang w:bidi="mn-Mong-CN"/>
        </w:rPr>
        <w:drawing>
          <wp:inline distT="0" distB="0" distL="0" distR="0">
            <wp:extent cx="5274310" cy="4942840"/>
            <wp:effectExtent l="0" t="0" r="2540" b="0"/>
            <wp:docPr id="6" name="图片 6" descr="C:\Users\杨奇\AppData\Local\Temp\14923932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奇\AppData\Local\Temp\1492393275(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4942840"/>
                    </a:xfrm>
                    <a:prstGeom prst="rect">
                      <a:avLst/>
                    </a:prstGeom>
                    <a:noFill/>
                    <a:ln>
                      <a:noFill/>
                    </a:ln>
                  </pic:spPr>
                </pic:pic>
              </a:graphicData>
            </a:graphic>
          </wp:inline>
        </w:drawing>
      </w:r>
    </w:p>
    <w:p>
      <w:pPr>
        <w:jc w:val="center"/>
        <w:rPr>
          <w:rFonts w:eastAsiaTheme="minorHAnsi"/>
          <w:sz w:val="30"/>
          <w:szCs w:val="30"/>
        </w:rPr>
      </w:pPr>
      <w:r>
        <w:rPr>
          <w:rFonts w:hint="eastAsia" w:eastAsiaTheme="minorHAnsi"/>
          <w:sz w:val="30"/>
          <w:szCs w:val="30"/>
        </w:rPr>
        <w:t>2017年</w:t>
      </w:r>
    </w:p>
    <w:p>
      <w:pPr>
        <w:rPr>
          <w:rFonts w:eastAsiaTheme="minorHAnsi"/>
          <w:sz w:val="30"/>
          <w:szCs w:val="30"/>
        </w:rPr>
      </w:pPr>
      <w:r>
        <w:rPr>
          <w:lang w:bidi="mn-Mong-CN"/>
        </w:rPr>
        <w:drawing>
          <wp:inline distT="0" distB="0" distL="0" distR="0">
            <wp:extent cx="5274310" cy="358140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6"/>
                    <a:stretch>
                      <a:fillRect/>
                    </a:stretch>
                  </pic:blipFill>
                  <pic:spPr>
                    <a:xfrm>
                      <a:off x="0" y="0"/>
                      <a:ext cx="5274310" cy="3581400"/>
                    </a:xfrm>
                    <a:prstGeom prst="rect">
                      <a:avLst/>
                    </a:prstGeom>
                  </pic:spPr>
                </pic:pic>
              </a:graphicData>
            </a:graphic>
          </wp:inline>
        </w:drawing>
      </w: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eastAsiaTheme="minorHAnsi"/>
          <w:sz w:val="30"/>
          <w:szCs w:val="30"/>
        </w:rPr>
      </w:pPr>
    </w:p>
    <w:p>
      <w:pPr>
        <w:rPr>
          <w:rFonts w:hint="eastAsia" w:eastAsiaTheme="minorHAnsi"/>
          <w:sz w:val="30"/>
          <w:szCs w:val="30"/>
        </w:rPr>
      </w:pPr>
    </w:p>
    <w:sectPr>
      <w:footerReference r:id="rId3" w:type="default"/>
      <w:pgSz w:w="11906" w:h="16838"/>
      <w:pgMar w:top="1418" w:right="1077" w:bottom="1418"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roman"/>
    <w:pitch w:val="default"/>
    <w:sig w:usb0="B00002AF" w:usb1="69D77CFB" w:usb2="00000030" w:usb3="00000000" w:csb0="4008009F" w:csb1="DFD70000"/>
  </w:font>
  <w:font w:name="Gulim">
    <w:panose1 w:val="020B0600000101010101"/>
    <w:charset w:val="81"/>
    <w:family w:val="swiss"/>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微软雅黑 Light">
    <w:altName w:val="黑体"/>
    <w:panose1 w:val="020B0502040204020203"/>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2213944"/>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56C29"/>
    <w:multiLevelType w:val="multilevel"/>
    <w:tmpl w:val="7AF56C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4NzVjZDNjMzU5OWI2ZjQ2MGJlNzczNjUzZDcyMWUifQ=="/>
  </w:docVars>
  <w:rsids>
    <w:rsidRoot w:val="006F3783"/>
    <w:rsid w:val="00014F3C"/>
    <w:rsid w:val="00047F21"/>
    <w:rsid w:val="000511ED"/>
    <w:rsid w:val="00054D31"/>
    <w:rsid w:val="00060F19"/>
    <w:rsid w:val="000670C7"/>
    <w:rsid w:val="0007337A"/>
    <w:rsid w:val="00082759"/>
    <w:rsid w:val="000906AA"/>
    <w:rsid w:val="00090DC0"/>
    <w:rsid w:val="000B7C48"/>
    <w:rsid w:val="000C3CCC"/>
    <w:rsid w:val="000D31FA"/>
    <w:rsid w:val="000D5A06"/>
    <w:rsid w:val="000D64EC"/>
    <w:rsid w:val="000E0A9E"/>
    <w:rsid w:val="000F5BD4"/>
    <w:rsid w:val="00100DE0"/>
    <w:rsid w:val="00102FA4"/>
    <w:rsid w:val="001158E0"/>
    <w:rsid w:val="001174F7"/>
    <w:rsid w:val="00135A6D"/>
    <w:rsid w:val="00135FE3"/>
    <w:rsid w:val="001421CF"/>
    <w:rsid w:val="001628D8"/>
    <w:rsid w:val="00173BF5"/>
    <w:rsid w:val="00190AD6"/>
    <w:rsid w:val="00197692"/>
    <w:rsid w:val="001A0989"/>
    <w:rsid w:val="001A231E"/>
    <w:rsid w:val="001D585C"/>
    <w:rsid w:val="001F4840"/>
    <w:rsid w:val="00205175"/>
    <w:rsid w:val="00223992"/>
    <w:rsid w:val="002447BD"/>
    <w:rsid w:val="00257A76"/>
    <w:rsid w:val="002733F2"/>
    <w:rsid w:val="0027399C"/>
    <w:rsid w:val="00282747"/>
    <w:rsid w:val="00284A9E"/>
    <w:rsid w:val="00287E78"/>
    <w:rsid w:val="00294461"/>
    <w:rsid w:val="002972D6"/>
    <w:rsid w:val="002B639B"/>
    <w:rsid w:val="002C7315"/>
    <w:rsid w:val="002E48C2"/>
    <w:rsid w:val="002E5963"/>
    <w:rsid w:val="002F5AD8"/>
    <w:rsid w:val="002F73C2"/>
    <w:rsid w:val="00311755"/>
    <w:rsid w:val="00316FB6"/>
    <w:rsid w:val="00324585"/>
    <w:rsid w:val="00331DDF"/>
    <w:rsid w:val="00357369"/>
    <w:rsid w:val="0036428B"/>
    <w:rsid w:val="00376577"/>
    <w:rsid w:val="003804A9"/>
    <w:rsid w:val="00382D2C"/>
    <w:rsid w:val="00383FD8"/>
    <w:rsid w:val="003C1210"/>
    <w:rsid w:val="003C488D"/>
    <w:rsid w:val="003C4913"/>
    <w:rsid w:val="003C6F78"/>
    <w:rsid w:val="003C7E0E"/>
    <w:rsid w:val="003D1FA9"/>
    <w:rsid w:val="003D5FE4"/>
    <w:rsid w:val="003E773F"/>
    <w:rsid w:val="003F62A9"/>
    <w:rsid w:val="003F65E7"/>
    <w:rsid w:val="00403392"/>
    <w:rsid w:val="004062C4"/>
    <w:rsid w:val="0041350C"/>
    <w:rsid w:val="004419AE"/>
    <w:rsid w:val="00462F9E"/>
    <w:rsid w:val="00473DF6"/>
    <w:rsid w:val="004926E9"/>
    <w:rsid w:val="00496437"/>
    <w:rsid w:val="004A3059"/>
    <w:rsid w:val="004B06FF"/>
    <w:rsid w:val="004B2CA5"/>
    <w:rsid w:val="004C3B14"/>
    <w:rsid w:val="004F111B"/>
    <w:rsid w:val="004F2742"/>
    <w:rsid w:val="004F35CF"/>
    <w:rsid w:val="004F40D5"/>
    <w:rsid w:val="004F5B43"/>
    <w:rsid w:val="00500B98"/>
    <w:rsid w:val="00515A52"/>
    <w:rsid w:val="00527FD0"/>
    <w:rsid w:val="005361A7"/>
    <w:rsid w:val="00537D2A"/>
    <w:rsid w:val="00541E49"/>
    <w:rsid w:val="00574878"/>
    <w:rsid w:val="005901CD"/>
    <w:rsid w:val="00590CF4"/>
    <w:rsid w:val="005944B5"/>
    <w:rsid w:val="00597602"/>
    <w:rsid w:val="005B6809"/>
    <w:rsid w:val="005C09DF"/>
    <w:rsid w:val="005D0DAA"/>
    <w:rsid w:val="005E045D"/>
    <w:rsid w:val="005E1F1B"/>
    <w:rsid w:val="005E3981"/>
    <w:rsid w:val="00602640"/>
    <w:rsid w:val="00603A70"/>
    <w:rsid w:val="00615169"/>
    <w:rsid w:val="00616F9F"/>
    <w:rsid w:val="00640DCC"/>
    <w:rsid w:val="00662F81"/>
    <w:rsid w:val="00663EC3"/>
    <w:rsid w:val="00670D19"/>
    <w:rsid w:val="00684402"/>
    <w:rsid w:val="006852E8"/>
    <w:rsid w:val="006903C9"/>
    <w:rsid w:val="006A0A6D"/>
    <w:rsid w:val="006C07D6"/>
    <w:rsid w:val="006E3098"/>
    <w:rsid w:val="006E3930"/>
    <w:rsid w:val="006E632B"/>
    <w:rsid w:val="006F3783"/>
    <w:rsid w:val="006F6C08"/>
    <w:rsid w:val="00712EA6"/>
    <w:rsid w:val="00730138"/>
    <w:rsid w:val="00732129"/>
    <w:rsid w:val="0074504C"/>
    <w:rsid w:val="00746D36"/>
    <w:rsid w:val="00763B29"/>
    <w:rsid w:val="0076424C"/>
    <w:rsid w:val="00766160"/>
    <w:rsid w:val="007868D8"/>
    <w:rsid w:val="00797D12"/>
    <w:rsid w:val="007A012F"/>
    <w:rsid w:val="007A4737"/>
    <w:rsid w:val="007B362A"/>
    <w:rsid w:val="007D7D6B"/>
    <w:rsid w:val="007E3406"/>
    <w:rsid w:val="008169B3"/>
    <w:rsid w:val="00833B70"/>
    <w:rsid w:val="008341ED"/>
    <w:rsid w:val="008412CD"/>
    <w:rsid w:val="008508BB"/>
    <w:rsid w:val="008656B0"/>
    <w:rsid w:val="008727A3"/>
    <w:rsid w:val="00881BE3"/>
    <w:rsid w:val="00892DFE"/>
    <w:rsid w:val="00893271"/>
    <w:rsid w:val="0089507E"/>
    <w:rsid w:val="008C6DEA"/>
    <w:rsid w:val="008D43D8"/>
    <w:rsid w:val="008D4DA1"/>
    <w:rsid w:val="008D4EC2"/>
    <w:rsid w:val="008E36C1"/>
    <w:rsid w:val="008E685C"/>
    <w:rsid w:val="008F12E8"/>
    <w:rsid w:val="00916F0B"/>
    <w:rsid w:val="0093616B"/>
    <w:rsid w:val="009400CB"/>
    <w:rsid w:val="009414F1"/>
    <w:rsid w:val="00951EA6"/>
    <w:rsid w:val="009539E7"/>
    <w:rsid w:val="00963A42"/>
    <w:rsid w:val="00964CBE"/>
    <w:rsid w:val="009B05AC"/>
    <w:rsid w:val="009B19F7"/>
    <w:rsid w:val="009C0D7D"/>
    <w:rsid w:val="009D3776"/>
    <w:rsid w:val="009F015F"/>
    <w:rsid w:val="009F454D"/>
    <w:rsid w:val="00A038AF"/>
    <w:rsid w:val="00A03F7A"/>
    <w:rsid w:val="00A16365"/>
    <w:rsid w:val="00A27859"/>
    <w:rsid w:val="00A4735D"/>
    <w:rsid w:val="00A5117D"/>
    <w:rsid w:val="00A537C8"/>
    <w:rsid w:val="00A7648A"/>
    <w:rsid w:val="00A76647"/>
    <w:rsid w:val="00A76DBD"/>
    <w:rsid w:val="00A92140"/>
    <w:rsid w:val="00A928AC"/>
    <w:rsid w:val="00AB1A5C"/>
    <w:rsid w:val="00AB4559"/>
    <w:rsid w:val="00AB4998"/>
    <w:rsid w:val="00AC4C33"/>
    <w:rsid w:val="00AC71EA"/>
    <w:rsid w:val="00AD2460"/>
    <w:rsid w:val="00B0776B"/>
    <w:rsid w:val="00B201ED"/>
    <w:rsid w:val="00B25F32"/>
    <w:rsid w:val="00B30146"/>
    <w:rsid w:val="00B369F7"/>
    <w:rsid w:val="00B41A6C"/>
    <w:rsid w:val="00B53411"/>
    <w:rsid w:val="00B553F2"/>
    <w:rsid w:val="00B57516"/>
    <w:rsid w:val="00B61A22"/>
    <w:rsid w:val="00B653FA"/>
    <w:rsid w:val="00B705F3"/>
    <w:rsid w:val="00B77974"/>
    <w:rsid w:val="00B816F8"/>
    <w:rsid w:val="00B910C2"/>
    <w:rsid w:val="00BA3E56"/>
    <w:rsid w:val="00BA5BAA"/>
    <w:rsid w:val="00BC77B2"/>
    <w:rsid w:val="00BF3DCB"/>
    <w:rsid w:val="00C058C6"/>
    <w:rsid w:val="00C27532"/>
    <w:rsid w:val="00C33918"/>
    <w:rsid w:val="00C363EA"/>
    <w:rsid w:val="00C53815"/>
    <w:rsid w:val="00C67106"/>
    <w:rsid w:val="00C768C4"/>
    <w:rsid w:val="00C83830"/>
    <w:rsid w:val="00CD32C9"/>
    <w:rsid w:val="00CD35A6"/>
    <w:rsid w:val="00CE71EE"/>
    <w:rsid w:val="00CF73DC"/>
    <w:rsid w:val="00D11525"/>
    <w:rsid w:val="00D13322"/>
    <w:rsid w:val="00D14A82"/>
    <w:rsid w:val="00D3277C"/>
    <w:rsid w:val="00D5350C"/>
    <w:rsid w:val="00D600EF"/>
    <w:rsid w:val="00D65F1B"/>
    <w:rsid w:val="00D74834"/>
    <w:rsid w:val="00D95BEF"/>
    <w:rsid w:val="00DA013A"/>
    <w:rsid w:val="00DA07B2"/>
    <w:rsid w:val="00DA7481"/>
    <w:rsid w:val="00DB2D81"/>
    <w:rsid w:val="00DB3B0D"/>
    <w:rsid w:val="00DC61B3"/>
    <w:rsid w:val="00DD1A51"/>
    <w:rsid w:val="00DD1D13"/>
    <w:rsid w:val="00E02759"/>
    <w:rsid w:val="00E33D09"/>
    <w:rsid w:val="00E52983"/>
    <w:rsid w:val="00E846EF"/>
    <w:rsid w:val="00EB0A48"/>
    <w:rsid w:val="00EC5B47"/>
    <w:rsid w:val="00F10C47"/>
    <w:rsid w:val="00F40119"/>
    <w:rsid w:val="00F45660"/>
    <w:rsid w:val="00F60A85"/>
    <w:rsid w:val="00F63B38"/>
    <w:rsid w:val="00F7249D"/>
    <w:rsid w:val="00F77535"/>
    <w:rsid w:val="00F87971"/>
    <w:rsid w:val="00FA0C65"/>
    <w:rsid w:val="00FA2D2D"/>
    <w:rsid w:val="00FA557D"/>
    <w:rsid w:val="00FB69D3"/>
    <w:rsid w:val="00FC49E4"/>
    <w:rsid w:val="00FE36F1"/>
    <w:rsid w:val="00FE7300"/>
    <w:rsid w:val="00FF687F"/>
    <w:rsid w:val="3D3439BC"/>
    <w:rsid w:val="601D00CB"/>
    <w:rsid w:val="69A16E5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table" w:customStyle="1" w:styleId="12">
    <w:name w:val="Plain Table 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3">
    <w:name w:val="Grid Table 1 Light Accent 1"/>
    <w:basedOn w:val="5"/>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14">
    <w:name w:val="Grid Table 1 Light Accent 5"/>
    <w:basedOn w:val="5"/>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15">
    <w:name w:val="Grid Table 2 Accent 6"/>
    <w:basedOn w:val="5"/>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6">
    <w:name w:val="Grid Table 2 Accent 5"/>
    <w:basedOn w:val="5"/>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7">
    <w:name w:val="Grid Table 2 Accent 4"/>
    <w:basedOn w:val="5"/>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character" w:customStyle="1" w:styleId="18">
    <w:name w:val="Unresolved Mention"/>
    <w:basedOn w:val="7"/>
    <w:semiHidden/>
    <w:unhideWhenUsed/>
    <w:qFormat/>
    <w:uiPriority w:val="99"/>
    <w:rPr>
      <w:color w:val="808080"/>
      <w:shd w:val="clear" w:color="auto" w:fill="E6E6E6"/>
    </w:rPr>
  </w:style>
  <w:style w:type="paragraph" w:customStyle="1" w:styleId="19">
    <w:name w:val="바탕글"/>
    <w:basedOn w:val="1"/>
    <w:qFormat/>
    <w:uiPriority w:val="0"/>
    <w:pPr>
      <w:wordWrap w:val="0"/>
      <w:autoSpaceDE w:val="0"/>
      <w:autoSpaceDN w:val="0"/>
      <w:snapToGrid w:val="0"/>
      <w:spacing w:line="384" w:lineRule="auto"/>
    </w:pPr>
    <w:rPr>
      <w:rFonts w:ascii="Batang" w:hAnsi="Gulim" w:eastAsia="Gulim" w:cs="Gulim"/>
      <w:color w:val="000000"/>
      <w:kern w:val="0"/>
      <w:sz w:val="20"/>
      <w:szCs w:val="20"/>
      <w:lang w:eastAsia="ko-KR"/>
    </w:rPr>
  </w:style>
  <w:style w:type="table" w:customStyle="1" w:styleId="20">
    <w:name w:val="Plain Table 3"/>
    <w:basedOn w:val="5"/>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21">
    <w:name w:val="Grid Table 4 Accent 6"/>
    <w:basedOn w:val="5"/>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2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2925</Words>
  <Characters>3102</Characters>
  <Lines>23</Lines>
  <Paragraphs>6</Paragraphs>
  <TotalTime>2</TotalTime>
  <ScaleCrop>false</ScaleCrop>
  <LinksUpToDate>false</LinksUpToDate>
  <CharactersWithSpaces>3125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2018-08-31T09:14:00Z</dcterms:created>
  <dc:creator>杨奇</dc:creator>
  <cp:lastModifiedBy>Administrator</cp:lastModifiedBy>
  <cp:lastPrinted>2018-04-18T09:19:00Z</cp:lastPrinted>
  <dcterms:modified xsi:type="dcterms:W3CDTF">2023-09-08T01:54:09Z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035D85B4AB934A5E9877A09248663BA0_12</vt:lpwstr>
  </property>
</Properties>
</file>